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CEB11" w14:textId="77777777" w:rsidR="00DA3398" w:rsidRDefault="00DA3398">
      <w:pPr>
        <w:rPr>
          <w:b/>
          <w:bCs/>
          <w:color w:val="007434"/>
          <w:sz w:val="28"/>
          <w:szCs w:val="28"/>
          <w:u w:color="007434"/>
        </w:rPr>
      </w:pPr>
      <w:bookmarkStart w:id="0" w:name="_Hlk139879430"/>
      <w:r w:rsidRPr="00933834">
        <w:rPr>
          <w:noProof/>
        </w:rPr>
        <w:drawing>
          <wp:anchor distT="0" distB="0" distL="114300" distR="114300" simplePos="0" relativeHeight="251666432" behindDoc="1" locked="0" layoutInCell="1" allowOverlap="1" wp14:anchorId="14DAD0F0" wp14:editId="298E3CFD">
            <wp:simplePos x="0" y="0"/>
            <wp:positionH relativeFrom="margin">
              <wp:posOffset>0</wp:posOffset>
            </wp:positionH>
            <wp:positionV relativeFrom="paragraph">
              <wp:posOffset>164134</wp:posOffset>
            </wp:positionV>
            <wp:extent cx="1003300" cy="802640"/>
            <wp:effectExtent l="0" t="0" r="6350" b="0"/>
            <wp:wrapThrough wrapText="bothSides">
              <wp:wrapPolygon edited="0">
                <wp:start x="0" y="0"/>
                <wp:lineTo x="0" y="21019"/>
                <wp:lineTo x="21327" y="21019"/>
                <wp:lineTo x="21327"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2A339" w14:textId="77777777" w:rsidR="00E16269" w:rsidRDefault="00AF2678">
      <w:pPr>
        <w:rPr>
          <w:b/>
          <w:bCs/>
          <w:color w:val="007434"/>
          <w:sz w:val="28"/>
          <w:szCs w:val="28"/>
          <w:u w:color="007434"/>
        </w:rPr>
      </w:pPr>
      <w:r>
        <w:rPr>
          <w:b/>
          <w:bCs/>
          <w:color w:val="007434"/>
          <w:sz w:val="28"/>
          <w:szCs w:val="28"/>
          <w:u w:color="007434"/>
        </w:rPr>
        <w:t>COORDIFESA PIEMONTE</w:t>
      </w:r>
    </w:p>
    <w:p w14:paraId="20DC9674" w14:textId="77777777" w:rsidR="00E16269" w:rsidRDefault="00AF2678">
      <w:pPr>
        <w:rPr>
          <w:b/>
          <w:bCs/>
          <w:color w:val="007434"/>
          <w:sz w:val="20"/>
          <w:szCs w:val="20"/>
          <w:u w:color="007434"/>
        </w:rPr>
      </w:pPr>
      <w:r>
        <w:rPr>
          <w:b/>
          <w:bCs/>
          <w:color w:val="007434"/>
          <w:sz w:val="20"/>
          <w:szCs w:val="20"/>
          <w:u w:color="007434"/>
        </w:rPr>
        <w:t xml:space="preserve">Piazza </w:t>
      </w:r>
      <w:proofErr w:type="spellStart"/>
      <w:r>
        <w:rPr>
          <w:b/>
          <w:bCs/>
          <w:color w:val="007434"/>
          <w:sz w:val="20"/>
          <w:szCs w:val="20"/>
          <w:u w:color="007434"/>
        </w:rPr>
        <w:t>Zumaglini</w:t>
      </w:r>
      <w:proofErr w:type="spellEnd"/>
      <w:r>
        <w:rPr>
          <w:b/>
          <w:bCs/>
          <w:color w:val="007434"/>
          <w:sz w:val="20"/>
          <w:szCs w:val="20"/>
          <w:u w:color="007434"/>
        </w:rPr>
        <w:t xml:space="preserve"> n. 14 – 13100 Vercelli</w:t>
      </w:r>
    </w:p>
    <w:p w14:paraId="4984A453" w14:textId="77777777" w:rsidR="00E16269" w:rsidRDefault="00AF2678">
      <w:pPr>
        <w:rPr>
          <w:b/>
          <w:bCs/>
          <w:color w:val="007434"/>
          <w:sz w:val="20"/>
          <w:szCs w:val="20"/>
          <w:u w:color="007434"/>
        </w:rPr>
      </w:pPr>
      <w:r>
        <w:rPr>
          <w:b/>
          <w:bCs/>
          <w:color w:val="007434"/>
          <w:sz w:val="20"/>
          <w:szCs w:val="20"/>
          <w:u w:color="007434"/>
        </w:rPr>
        <w:t>c.f. 940438020029</w:t>
      </w:r>
    </w:p>
    <w:p w14:paraId="00A0E93C" w14:textId="77777777" w:rsidR="00E16269" w:rsidRDefault="00BC42CF">
      <w:pPr>
        <w:rPr>
          <w:b/>
          <w:bCs/>
          <w:color w:val="007434"/>
          <w:sz w:val="20"/>
          <w:szCs w:val="20"/>
          <w:u w:color="007434"/>
        </w:rPr>
      </w:pPr>
      <w:hyperlink r:id="rId9" w:history="1">
        <w:r w:rsidR="00AF2678">
          <w:rPr>
            <w:rStyle w:val="Hyperlink0"/>
          </w:rPr>
          <w:t>piemonte@coordifesa.it</w:t>
        </w:r>
      </w:hyperlink>
      <w:r w:rsidR="00AF2678">
        <w:rPr>
          <w:b/>
          <w:bCs/>
          <w:color w:val="007434"/>
          <w:sz w:val="20"/>
          <w:szCs w:val="20"/>
          <w:u w:color="007434"/>
        </w:rPr>
        <w:t xml:space="preserve"> - </w:t>
      </w:r>
      <w:hyperlink r:id="rId10" w:history="1">
        <w:r w:rsidR="00AF2678">
          <w:rPr>
            <w:rStyle w:val="Hyperlink0"/>
          </w:rPr>
          <w:t>piemonte@pec.coordifesa.it</w:t>
        </w:r>
      </w:hyperlink>
    </w:p>
    <w:p w14:paraId="3820578C" w14:textId="77777777" w:rsidR="00E16269" w:rsidRDefault="00E16269">
      <w:pPr>
        <w:rPr>
          <w:color w:val="1F497D"/>
          <w:u w:color="1F497D"/>
        </w:rPr>
      </w:pPr>
    </w:p>
    <w:p w14:paraId="4BCB6AE7" w14:textId="77777777" w:rsidR="00860FA7" w:rsidRDefault="00860FA7">
      <w:pPr>
        <w:jc w:val="center"/>
        <w:rPr>
          <w:color w:val="2F5496" w:themeColor="accent1" w:themeShade="BF"/>
          <w:sz w:val="44"/>
          <w:szCs w:val="44"/>
          <w:u w:color="1F497D"/>
        </w:rPr>
      </w:pPr>
    </w:p>
    <w:p w14:paraId="55D10B70" w14:textId="77777777" w:rsidR="00D61AB4" w:rsidRDefault="00D61AB4">
      <w:pPr>
        <w:jc w:val="center"/>
        <w:rPr>
          <w:color w:val="2F5496" w:themeColor="accent1" w:themeShade="BF"/>
          <w:sz w:val="44"/>
          <w:szCs w:val="44"/>
          <w:u w:color="1F497D"/>
        </w:rPr>
      </w:pPr>
    </w:p>
    <w:p w14:paraId="4FB0BAA0" w14:textId="77777777" w:rsidR="00E16269" w:rsidRPr="004A28CE" w:rsidRDefault="00AF2678">
      <w:pPr>
        <w:jc w:val="center"/>
        <w:rPr>
          <w:color w:val="2F5496" w:themeColor="accent1" w:themeShade="BF"/>
          <w:sz w:val="44"/>
          <w:szCs w:val="44"/>
          <w:u w:color="1F497D"/>
        </w:rPr>
      </w:pPr>
      <w:r w:rsidRPr="004A28CE">
        <w:rPr>
          <w:color w:val="2F5496" w:themeColor="accent1" w:themeShade="BF"/>
          <w:sz w:val="44"/>
          <w:szCs w:val="44"/>
          <w:u w:color="1F497D"/>
        </w:rPr>
        <w:t>NEWSLETTER COORDIFESA PIEMONTE</w:t>
      </w:r>
    </w:p>
    <w:p w14:paraId="49F47E64" w14:textId="77777777" w:rsidR="00E16269" w:rsidRPr="004A28CE" w:rsidRDefault="00CA4EEE" w:rsidP="00CA4EEE">
      <w:pPr>
        <w:jc w:val="center"/>
        <w:rPr>
          <w:color w:val="2F5496" w:themeColor="accent1" w:themeShade="BF"/>
          <w:sz w:val="44"/>
          <w:szCs w:val="44"/>
          <w:u w:color="1F497D"/>
        </w:rPr>
      </w:pPr>
      <w:r w:rsidRPr="004A28CE">
        <w:rPr>
          <w:color w:val="2F5496" w:themeColor="accent1" w:themeShade="BF"/>
          <w:sz w:val="44"/>
          <w:szCs w:val="44"/>
          <w:u w:color="1F497D"/>
        </w:rPr>
        <w:t xml:space="preserve">n. </w:t>
      </w:r>
      <w:r w:rsidR="004B3C62">
        <w:rPr>
          <w:color w:val="2F5496" w:themeColor="accent1" w:themeShade="BF"/>
          <w:sz w:val="44"/>
          <w:szCs w:val="44"/>
          <w:u w:color="1F497D"/>
        </w:rPr>
        <w:t>6</w:t>
      </w:r>
      <w:r w:rsidRPr="004A28CE">
        <w:rPr>
          <w:color w:val="2F5496" w:themeColor="accent1" w:themeShade="BF"/>
          <w:sz w:val="44"/>
          <w:szCs w:val="44"/>
          <w:u w:color="1F497D"/>
        </w:rPr>
        <w:t xml:space="preserve"> – </w:t>
      </w:r>
      <w:r w:rsidR="004B3C62">
        <w:rPr>
          <w:color w:val="2F5496" w:themeColor="accent1" w:themeShade="BF"/>
          <w:sz w:val="44"/>
          <w:szCs w:val="44"/>
          <w:u w:color="1F497D"/>
        </w:rPr>
        <w:t>giugn</w:t>
      </w:r>
      <w:r w:rsidR="009E0F55">
        <w:rPr>
          <w:color w:val="2F5496" w:themeColor="accent1" w:themeShade="BF"/>
          <w:sz w:val="44"/>
          <w:szCs w:val="44"/>
          <w:u w:color="1F497D"/>
        </w:rPr>
        <w:t>o</w:t>
      </w:r>
      <w:r w:rsidRPr="004A28CE">
        <w:rPr>
          <w:color w:val="2F5496" w:themeColor="accent1" w:themeShade="BF"/>
          <w:sz w:val="44"/>
          <w:szCs w:val="44"/>
          <w:u w:color="1F497D"/>
        </w:rPr>
        <w:t xml:space="preserve"> 202</w:t>
      </w:r>
      <w:r w:rsidR="009B62B4">
        <w:rPr>
          <w:color w:val="2F5496" w:themeColor="accent1" w:themeShade="BF"/>
          <w:sz w:val="44"/>
          <w:szCs w:val="44"/>
          <w:u w:color="1F497D"/>
        </w:rPr>
        <w:t>4</w:t>
      </w:r>
    </w:p>
    <w:p w14:paraId="43A19C3E" w14:textId="77777777" w:rsidR="00E16269" w:rsidRDefault="00E16269">
      <w:pPr>
        <w:rPr>
          <w:color w:val="1F497D"/>
          <w:u w:color="1F497D"/>
        </w:rPr>
      </w:pPr>
    </w:p>
    <w:p w14:paraId="29F3CF2A" w14:textId="77777777" w:rsidR="005E2710" w:rsidRDefault="005E2710">
      <w:pPr>
        <w:rPr>
          <w:color w:val="1F497D"/>
          <w:u w:color="1F497D"/>
        </w:rPr>
      </w:pPr>
    </w:p>
    <w:p w14:paraId="095F5388" w14:textId="77777777" w:rsidR="00D61AB4" w:rsidRDefault="00D61AB4">
      <w:pPr>
        <w:rPr>
          <w:color w:val="1F497D"/>
          <w:u w:color="1F497D"/>
        </w:rPr>
      </w:pPr>
    </w:p>
    <w:p w14:paraId="291430A5" w14:textId="77777777" w:rsidR="00163E8F" w:rsidRDefault="00163E8F" w:rsidP="00EA54F2">
      <w:pPr>
        <w:jc w:val="both"/>
        <w:rPr>
          <w:color w:val="2F5496" w:themeColor="accent1" w:themeShade="BF"/>
        </w:rPr>
      </w:pPr>
    </w:p>
    <w:p w14:paraId="069AF22D" w14:textId="77777777" w:rsidR="00163E8F" w:rsidRDefault="004B3C62" w:rsidP="00EA54F2">
      <w:pPr>
        <w:jc w:val="both"/>
        <w:rPr>
          <w:color w:val="2F5496" w:themeColor="accent1" w:themeShade="BF"/>
        </w:rPr>
      </w:pPr>
      <w:r>
        <w:rPr>
          <w:noProof/>
        </w:rPr>
        <w:drawing>
          <wp:anchor distT="0" distB="0" distL="114300" distR="114300" simplePos="0" relativeHeight="251697152" behindDoc="0" locked="0" layoutInCell="1" allowOverlap="1" wp14:anchorId="50C6796B" wp14:editId="692CF0F5">
            <wp:simplePos x="0" y="0"/>
            <wp:positionH relativeFrom="column">
              <wp:posOffset>3479</wp:posOffset>
            </wp:positionH>
            <wp:positionV relativeFrom="paragraph">
              <wp:posOffset>-331</wp:posOffset>
            </wp:positionV>
            <wp:extent cx="2854325" cy="1598295"/>
            <wp:effectExtent l="0" t="0" r="3175"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95FB9" w14:textId="77777777" w:rsidR="008F29CA" w:rsidRDefault="008F29CA" w:rsidP="00A10577">
      <w:pPr>
        <w:jc w:val="both"/>
        <w:rPr>
          <w:color w:val="1F497D"/>
          <w:sz w:val="36"/>
          <w:szCs w:val="36"/>
          <w:u w:color="1F497D"/>
        </w:rPr>
      </w:pPr>
    </w:p>
    <w:p w14:paraId="76E9F899" w14:textId="77777777" w:rsidR="00FF4AFE" w:rsidRDefault="008F29CA" w:rsidP="00A10577">
      <w:pPr>
        <w:jc w:val="both"/>
        <w:rPr>
          <w:color w:val="1F497D"/>
          <w:sz w:val="36"/>
          <w:szCs w:val="36"/>
          <w:u w:color="1F497D"/>
        </w:rPr>
      </w:pPr>
      <w:proofErr w:type="spellStart"/>
      <w:r>
        <w:rPr>
          <w:color w:val="1F497D"/>
          <w:sz w:val="36"/>
          <w:szCs w:val="36"/>
          <w:u w:color="1F497D"/>
        </w:rPr>
        <w:t>Coo</w:t>
      </w:r>
      <w:r w:rsidR="00EA404D">
        <w:rPr>
          <w:color w:val="1F497D"/>
          <w:sz w:val="36"/>
          <w:szCs w:val="36"/>
          <w:u w:color="1F497D"/>
        </w:rPr>
        <w:t>r</w:t>
      </w:r>
      <w:r>
        <w:rPr>
          <w:color w:val="1F497D"/>
          <w:sz w:val="36"/>
          <w:szCs w:val="36"/>
          <w:u w:color="1F497D"/>
        </w:rPr>
        <w:t>difesa</w:t>
      </w:r>
      <w:proofErr w:type="spellEnd"/>
      <w:r>
        <w:rPr>
          <w:color w:val="1F497D"/>
          <w:sz w:val="36"/>
          <w:szCs w:val="36"/>
          <w:u w:color="1F497D"/>
        </w:rPr>
        <w:t xml:space="preserve"> incontra </w:t>
      </w:r>
      <w:r w:rsidR="004B3C62">
        <w:rPr>
          <w:color w:val="1F497D"/>
          <w:sz w:val="36"/>
          <w:szCs w:val="36"/>
          <w:u w:color="1F497D"/>
        </w:rPr>
        <w:t>AGEA a Roma</w:t>
      </w:r>
    </w:p>
    <w:p w14:paraId="08F2EEDC" w14:textId="77777777" w:rsidR="008C0D04" w:rsidRDefault="008C0D04" w:rsidP="00A10577">
      <w:pPr>
        <w:jc w:val="both"/>
        <w:rPr>
          <w:color w:val="1F497D"/>
          <w:sz w:val="36"/>
          <w:szCs w:val="36"/>
          <w:u w:color="1F497D"/>
        </w:rPr>
      </w:pPr>
    </w:p>
    <w:p w14:paraId="6AC234E0" w14:textId="77777777" w:rsidR="008F29CA" w:rsidRDefault="008F29CA" w:rsidP="00A10577">
      <w:pPr>
        <w:jc w:val="both"/>
        <w:rPr>
          <w:color w:val="1F497D"/>
          <w:sz w:val="36"/>
          <w:szCs w:val="36"/>
          <w:u w:color="1F497D"/>
        </w:rPr>
      </w:pPr>
    </w:p>
    <w:p w14:paraId="3773761A" w14:textId="77777777" w:rsidR="008C0D04" w:rsidRDefault="008C0D04" w:rsidP="00A10577">
      <w:pPr>
        <w:jc w:val="both"/>
        <w:rPr>
          <w:color w:val="1F497D"/>
          <w:sz w:val="36"/>
          <w:szCs w:val="36"/>
          <w:u w:color="1F497D"/>
        </w:rPr>
      </w:pPr>
    </w:p>
    <w:p w14:paraId="63869F88" w14:textId="77777777" w:rsidR="008C0D04" w:rsidRDefault="008C0D04" w:rsidP="00A10577">
      <w:pPr>
        <w:jc w:val="both"/>
        <w:rPr>
          <w:color w:val="1F497D"/>
          <w:sz w:val="36"/>
          <w:szCs w:val="36"/>
          <w:u w:color="1F497D"/>
        </w:rPr>
      </w:pPr>
    </w:p>
    <w:p w14:paraId="3EA30750" w14:textId="77777777" w:rsidR="00E42320" w:rsidRDefault="0056705A" w:rsidP="00A10577">
      <w:pPr>
        <w:jc w:val="both"/>
        <w:rPr>
          <w:color w:val="1F497D"/>
          <w:u w:color="1F497D"/>
        </w:rPr>
      </w:pPr>
      <w:r>
        <w:rPr>
          <w:color w:val="1F497D"/>
          <w:u w:color="1F497D"/>
        </w:rPr>
        <w:t>Lo scorso 24 giugno il Direttore Generale ed il Direttore Tecnico</w:t>
      </w:r>
      <w:r w:rsidR="000C2A19">
        <w:rPr>
          <w:color w:val="1F497D"/>
          <w:u w:color="1F497D"/>
        </w:rPr>
        <w:t xml:space="preserve"> </w:t>
      </w:r>
      <w:r w:rsidR="008258CB">
        <w:rPr>
          <w:color w:val="1F497D"/>
          <w:u w:color="1F497D"/>
        </w:rPr>
        <w:t xml:space="preserve">di </w:t>
      </w:r>
      <w:proofErr w:type="spellStart"/>
      <w:r w:rsidR="008258CB">
        <w:rPr>
          <w:color w:val="1F497D"/>
          <w:u w:color="1F497D"/>
        </w:rPr>
        <w:t>Coordifesa</w:t>
      </w:r>
      <w:proofErr w:type="spellEnd"/>
      <w:r w:rsidR="008258CB">
        <w:rPr>
          <w:color w:val="1F497D"/>
          <w:u w:color="1F497D"/>
        </w:rPr>
        <w:t xml:space="preserve"> </w:t>
      </w:r>
      <w:r>
        <w:rPr>
          <w:color w:val="1F497D"/>
          <w:u w:color="1F497D"/>
        </w:rPr>
        <w:t xml:space="preserve">hanno incontrato </w:t>
      </w:r>
      <w:r w:rsidR="00FD6901">
        <w:rPr>
          <w:color w:val="1F497D"/>
          <w:u w:color="1F497D"/>
        </w:rPr>
        <w:t xml:space="preserve">i Dirigenti di AGEA Organismo Pagatore </w:t>
      </w:r>
      <w:r>
        <w:rPr>
          <w:color w:val="1F497D"/>
          <w:u w:color="1F497D"/>
        </w:rPr>
        <w:t xml:space="preserve">la Dott.sa </w:t>
      </w:r>
      <w:r w:rsidR="005A378F">
        <w:rPr>
          <w:color w:val="1F497D"/>
          <w:u w:color="1F497D"/>
        </w:rPr>
        <w:t xml:space="preserve">Francesca </w:t>
      </w:r>
      <w:r>
        <w:rPr>
          <w:color w:val="1F497D"/>
          <w:u w:color="1F497D"/>
        </w:rPr>
        <w:t>Pace e</w:t>
      </w:r>
      <w:r w:rsidR="00FD6901">
        <w:rPr>
          <w:color w:val="1F497D"/>
          <w:u w:color="1F497D"/>
        </w:rPr>
        <w:t xml:space="preserve"> </w:t>
      </w:r>
      <w:r>
        <w:rPr>
          <w:color w:val="1F497D"/>
          <w:u w:color="1F497D"/>
        </w:rPr>
        <w:t>d</w:t>
      </w:r>
      <w:r w:rsidR="00FD6901">
        <w:rPr>
          <w:color w:val="1F497D"/>
          <w:u w:color="1F497D"/>
        </w:rPr>
        <w:t xml:space="preserve">i AGEA Coordinamento </w:t>
      </w:r>
      <w:r>
        <w:rPr>
          <w:color w:val="1F497D"/>
          <w:u w:color="1F497D"/>
        </w:rPr>
        <w:t xml:space="preserve">Dott. </w:t>
      </w:r>
      <w:r w:rsidR="005A378F">
        <w:rPr>
          <w:color w:val="1F497D"/>
          <w:u w:color="1F497D"/>
        </w:rPr>
        <w:t xml:space="preserve">Salvatore </w:t>
      </w:r>
      <w:r>
        <w:rPr>
          <w:color w:val="1F497D"/>
          <w:u w:color="1F497D"/>
        </w:rPr>
        <w:t>Carfì</w:t>
      </w:r>
      <w:r w:rsidR="005A378F">
        <w:rPr>
          <w:color w:val="1F497D"/>
          <w:u w:color="1F497D"/>
        </w:rPr>
        <w:t xml:space="preserve"> </w:t>
      </w:r>
      <w:r w:rsidR="00A20087">
        <w:rPr>
          <w:color w:val="1F497D"/>
          <w:u w:color="1F497D"/>
        </w:rPr>
        <w:t>per fare il punto su</w:t>
      </w:r>
      <w:r w:rsidR="006718C9">
        <w:rPr>
          <w:color w:val="1F497D"/>
          <w:u w:color="1F497D"/>
        </w:rPr>
        <w:t>lle novità operative della campagna assicurativa 2024 e sui tempi di pagamento dei contributi relativi alle polizze d</w:t>
      </w:r>
      <w:r w:rsidR="009352D5">
        <w:rPr>
          <w:color w:val="1F497D"/>
          <w:u w:color="1F497D"/>
        </w:rPr>
        <w:t>e</w:t>
      </w:r>
      <w:r w:rsidR="006718C9">
        <w:rPr>
          <w:color w:val="1F497D"/>
          <w:u w:color="1F497D"/>
        </w:rPr>
        <w:t xml:space="preserve">i vegetali, </w:t>
      </w:r>
      <w:r w:rsidR="009352D5">
        <w:rPr>
          <w:color w:val="1F497D"/>
          <w:u w:color="1F497D"/>
        </w:rPr>
        <w:t xml:space="preserve">della </w:t>
      </w:r>
      <w:r w:rsidR="006718C9">
        <w:rPr>
          <w:color w:val="1F497D"/>
          <w:u w:color="1F497D"/>
        </w:rPr>
        <w:t xml:space="preserve">zootecnia e </w:t>
      </w:r>
      <w:r w:rsidR="009352D5">
        <w:rPr>
          <w:color w:val="1F497D"/>
          <w:u w:color="1F497D"/>
        </w:rPr>
        <w:t xml:space="preserve">delle </w:t>
      </w:r>
      <w:r w:rsidR="006718C9">
        <w:rPr>
          <w:color w:val="1F497D"/>
          <w:u w:color="1F497D"/>
        </w:rPr>
        <w:t>strutture aziendali delle annualità pregresse</w:t>
      </w:r>
      <w:r w:rsidR="009352D5">
        <w:rPr>
          <w:color w:val="1F497D"/>
          <w:u w:color="1F497D"/>
        </w:rPr>
        <w:t>,</w:t>
      </w:r>
      <w:r w:rsidR="006718C9">
        <w:rPr>
          <w:color w:val="1F497D"/>
          <w:u w:color="1F497D"/>
        </w:rPr>
        <w:t xml:space="preserve"> dal 2015 al 2023.</w:t>
      </w:r>
    </w:p>
    <w:p w14:paraId="0F5C58EA" w14:textId="77777777" w:rsidR="00C64275" w:rsidRDefault="006718C9" w:rsidP="00A10577">
      <w:pPr>
        <w:jc w:val="both"/>
        <w:rPr>
          <w:color w:val="1F497D"/>
          <w:u w:color="1F497D"/>
        </w:rPr>
      </w:pPr>
      <w:r>
        <w:rPr>
          <w:color w:val="1F497D"/>
          <w:u w:color="1F497D"/>
        </w:rPr>
        <w:t xml:space="preserve">Per quanto riguarda il 2024 il documento base per l’ottenimento del contributo è il Piano di Gestione </w:t>
      </w:r>
      <w:r w:rsidR="00C64275">
        <w:rPr>
          <w:color w:val="1F497D"/>
          <w:u w:color="1F497D"/>
        </w:rPr>
        <w:t>I</w:t>
      </w:r>
      <w:r>
        <w:rPr>
          <w:color w:val="1F497D"/>
          <w:u w:color="1F497D"/>
        </w:rPr>
        <w:t>ndividuale del Risc</w:t>
      </w:r>
      <w:r w:rsidR="00C64275">
        <w:rPr>
          <w:color w:val="1F497D"/>
          <w:u w:color="1F497D"/>
        </w:rPr>
        <w:t>h</w:t>
      </w:r>
      <w:r>
        <w:rPr>
          <w:color w:val="1F497D"/>
          <w:u w:color="1F497D"/>
        </w:rPr>
        <w:t>io (PGIR)</w:t>
      </w:r>
      <w:r w:rsidR="00C64275">
        <w:rPr>
          <w:color w:val="1F497D"/>
          <w:u w:color="1F497D"/>
        </w:rPr>
        <w:t xml:space="preserve"> che i Centri di Assistenza Agricoli (CAA) devono compilare partendo dai dati del Fascicolo Aziendale di ogni agricoltore assicurato. Tuttavia, benché i termini per stipulare le polizze stanno </w:t>
      </w:r>
      <w:r w:rsidR="009A0B1F">
        <w:rPr>
          <w:color w:val="1F497D"/>
          <w:u w:color="1F497D"/>
        </w:rPr>
        <w:t xml:space="preserve">ormai </w:t>
      </w:r>
      <w:r w:rsidR="00C64275">
        <w:rPr>
          <w:color w:val="1F497D"/>
          <w:u w:color="1F497D"/>
        </w:rPr>
        <w:t>per scadere</w:t>
      </w:r>
      <w:r w:rsidR="009352D5">
        <w:rPr>
          <w:color w:val="1F497D"/>
          <w:u w:color="1F497D"/>
        </w:rPr>
        <w:t>,</w:t>
      </w:r>
      <w:r w:rsidR="00C64275">
        <w:rPr>
          <w:color w:val="1F497D"/>
          <w:u w:color="1F497D"/>
        </w:rPr>
        <w:t xml:space="preserve"> il PGIR non è ancora operativo.</w:t>
      </w:r>
    </w:p>
    <w:p w14:paraId="64CBBC1B" w14:textId="77777777" w:rsidR="006718C9" w:rsidRDefault="00C64275" w:rsidP="00A10577">
      <w:pPr>
        <w:jc w:val="both"/>
        <w:rPr>
          <w:color w:val="1F497D"/>
          <w:u w:color="1F497D"/>
        </w:rPr>
      </w:pPr>
      <w:r>
        <w:rPr>
          <w:color w:val="1F497D"/>
          <w:u w:color="1F497D"/>
        </w:rPr>
        <w:t>I Consorzi di difesa dovrebbe</w:t>
      </w:r>
      <w:r w:rsidR="009352D5">
        <w:rPr>
          <w:color w:val="1F497D"/>
          <w:u w:color="1F497D"/>
        </w:rPr>
        <w:t xml:space="preserve">ro </w:t>
      </w:r>
      <w:r>
        <w:rPr>
          <w:color w:val="1F497D"/>
          <w:u w:color="1F497D"/>
        </w:rPr>
        <w:t xml:space="preserve">trasmettere ad AGEA </w:t>
      </w:r>
      <w:r w:rsidR="009352D5">
        <w:rPr>
          <w:color w:val="1F497D"/>
          <w:u w:color="1F497D"/>
        </w:rPr>
        <w:t>i dati relativi al</w:t>
      </w:r>
      <w:r>
        <w:rPr>
          <w:color w:val="1F497D"/>
          <w:u w:color="1F497D"/>
        </w:rPr>
        <w:t>le polizze assicurative delle colture autunno-primaverili (frumento, ecc.) e permanenti (uva e frutta) 2024 entro il 15 luglio</w:t>
      </w:r>
      <w:r w:rsidR="009352D5">
        <w:rPr>
          <w:color w:val="1F497D"/>
          <w:u w:color="1F497D"/>
        </w:rPr>
        <w:t>,</w:t>
      </w:r>
      <w:r>
        <w:rPr>
          <w:color w:val="1F497D"/>
          <w:u w:color="1F497D"/>
        </w:rPr>
        <w:t xml:space="preserve"> ma prima dovrebbero verificare la corrispondenza di prodotto, comune, superficie ecc. tra PGIR e polizza.</w:t>
      </w:r>
    </w:p>
    <w:p w14:paraId="76FC535D" w14:textId="77777777" w:rsidR="00CF34CB" w:rsidRDefault="00CF34CB" w:rsidP="00A10577">
      <w:pPr>
        <w:jc w:val="both"/>
        <w:rPr>
          <w:color w:val="1F497D"/>
          <w:u w:color="1F497D"/>
        </w:rPr>
      </w:pPr>
      <w:r>
        <w:rPr>
          <w:color w:val="1F497D"/>
          <w:u w:color="1F497D"/>
        </w:rPr>
        <w:t>Con ogni probabilità si avranno delle proroghe ma il processo di riforma andrà avanti con l</w:t>
      </w:r>
      <w:r w:rsidR="009352D5">
        <w:rPr>
          <w:color w:val="1F497D"/>
          <w:u w:color="1F497D"/>
        </w:rPr>
        <w:t>’obiettivo</w:t>
      </w:r>
      <w:r>
        <w:rPr>
          <w:color w:val="1F497D"/>
          <w:u w:color="1F497D"/>
        </w:rPr>
        <w:t xml:space="preserve"> di essere a pieno regime nel 2025</w:t>
      </w:r>
      <w:r w:rsidR="009352D5">
        <w:rPr>
          <w:color w:val="1F497D"/>
          <w:u w:color="1F497D"/>
        </w:rPr>
        <w:t xml:space="preserve"> e</w:t>
      </w:r>
      <w:r>
        <w:rPr>
          <w:color w:val="1F497D"/>
          <w:u w:color="1F497D"/>
        </w:rPr>
        <w:t xml:space="preserve"> con l</w:t>
      </w:r>
      <w:r w:rsidR="009352D5">
        <w:rPr>
          <w:color w:val="1F497D"/>
          <w:u w:color="1F497D"/>
        </w:rPr>
        <w:t xml:space="preserve">a volontà condivisa </w:t>
      </w:r>
      <w:r>
        <w:rPr>
          <w:color w:val="1F497D"/>
          <w:u w:color="1F497D"/>
        </w:rPr>
        <w:t>di velocizzare i tempi di erogazione dei contributi agli agricoltori.</w:t>
      </w:r>
    </w:p>
    <w:p w14:paraId="491704C8" w14:textId="77777777" w:rsidR="00CF34CB" w:rsidRDefault="00CF34CB" w:rsidP="00A10577">
      <w:pPr>
        <w:jc w:val="both"/>
        <w:rPr>
          <w:color w:val="1F497D"/>
          <w:u w:color="1F497D"/>
        </w:rPr>
      </w:pPr>
      <w:r>
        <w:rPr>
          <w:color w:val="1F497D"/>
          <w:u w:color="1F497D"/>
        </w:rPr>
        <w:t>L’altro obiettivo di AGEA è chiudere quanto prima il pagamento dei contributi arretrati che si trascinano dal 2015 e riguardano più marcatamente le polizze dei vegetali del 2022</w:t>
      </w:r>
      <w:r w:rsidR="009A0B1F">
        <w:rPr>
          <w:color w:val="1F497D"/>
          <w:u w:color="1F497D"/>
        </w:rPr>
        <w:t xml:space="preserve">, </w:t>
      </w:r>
      <w:r>
        <w:rPr>
          <w:color w:val="1F497D"/>
          <w:u w:color="1F497D"/>
        </w:rPr>
        <w:t>la zootecnia e le strutture aziendali.</w:t>
      </w:r>
    </w:p>
    <w:p w14:paraId="131F3903" w14:textId="77777777" w:rsidR="00A20087" w:rsidRDefault="000C2A19" w:rsidP="00A10577">
      <w:pPr>
        <w:jc w:val="both"/>
        <w:rPr>
          <w:color w:val="1F497D"/>
          <w:u w:color="1F497D"/>
        </w:rPr>
      </w:pPr>
      <w:r>
        <w:rPr>
          <w:color w:val="1F497D"/>
          <w:u w:color="1F497D"/>
        </w:rPr>
        <w:t xml:space="preserve">Anche su questo aspetto </w:t>
      </w:r>
      <w:proofErr w:type="spellStart"/>
      <w:r>
        <w:rPr>
          <w:color w:val="1F497D"/>
          <w:u w:color="1F497D"/>
        </w:rPr>
        <w:t>Coordifesa</w:t>
      </w:r>
      <w:proofErr w:type="spellEnd"/>
      <w:r>
        <w:rPr>
          <w:color w:val="1F497D"/>
          <w:u w:color="1F497D"/>
        </w:rPr>
        <w:t xml:space="preserve"> </w:t>
      </w:r>
      <w:r w:rsidR="009A0B1F">
        <w:rPr>
          <w:color w:val="1F497D"/>
          <w:u w:color="1F497D"/>
        </w:rPr>
        <w:t>h</w:t>
      </w:r>
      <w:r>
        <w:rPr>
          <w:color w:val="1F497D"/>
          <w:u w:color="1F497D"/>
        </w:rPr>
        <w:t>a chiesto numerosi chiarimenti e si sono avviate collaborazioni per portare a risoluzione le varie anomalie che ritardano i pagamenti.</w:t>
      </w:r>
    </w:p>
    <w:p w14:paraId="2FDADF17" w14:textId="77777777" w:rsidR="000C2A19" w:rsidRDefault="000C2A19" w:rsidP="00A10577">
      <w:pPr>
        <w:jc w:val="both"/>
        <w:rPr>
          <w:color w:val="1F497D"/>
          <w:u w:color="1F497D"/>
        </w:rPr>
      </w:pPr>
      <w:r>
        <w:rPr>
          <w:color w:val="1F497D"/>
          <w:u w:color="1F497D"/>
        </w:rPr>
        <w:t>Il 25 giugno AGEA ha pubblicato alcune istruzioni operative secondo cui “Tutti i pagamenti dei contributi nell’ambito del PSRN</w:t>
      </w:r>
      <w:r w:rsidR="009A0B1F">
        <w:rPr>
          <w:color w:val="1F497D"/>
          <w:u w:color="1F497D"/>
        </w:rPr>
        <w:t>,</w:t>
      </w:r>
      <w:r>
        <w:rPr>
          <w:color w:val="1F497D"/>
          <w:u w:color="1F497D"/>
        </w:rPr>
        <w:t xml:space="preserve"> riferiti alle annualità dal 2015 al 2022</w:t>
      </w:r>
      <w:r w:rsidR="009A0B1F">
        <w:rPr>
          <w:color w:val="1F497D"/>
          <w:u w:color="1F497D"/>
        </w:rPr>
        <w:t>,</w:t>
      </w:r>
      <w:r>
        <w:rPr>
          <w:color w:val="1F497D"/>
          <w:u w:color="1F497D"/>
        </w:rPr>
        <w:t xml:space="preserve"> devono essere concluse entro e non oltre il 31 dicembre 2025”</w:t>
      </w:r>
      <w:r w:rsidR="00BE4247">
        <w:rPr>
          <w:color w:val="1F497D"/>
          <w:u w:color="1F497D"/>
        </w:rPr>
        <w:t>,</w:t>
      </w:r>
      <w:r>
        <w:rPr>
          <w:color w:val="1F497D"/>
          <w:u w:color="1F497D"/>
        </w:rPr>
        <w:t xml:space="preserve"> </w:t>
      </w:r>
      <w:r w:rsidR="00BE4247">
        <w:rPr>
          <w:color w:val="1F497D"/>
          <w:u w:color="1F497D"/>
        </w:rPr>
        <w:t>indicando</w:t>
      </w:r>
      <w:r>
        <w:rPr>
          <w:color w:val="1F497D"/>
          <w:u w:color="1F497D"/>
        </w:rPr>
        <w:t xml:space="preserve"> un cronoprogramma </w:t>
      </w:r>
      <w:r w:rsidR="00BE4247">
        <w:rPr>
          <w:color w:val="1F497D"/>
          <w:u w:color="1F497D"/>
        </w:rPr>
        <w:t xml:space="preserve">dettagliato </w:t>
      </w:r>
      <w:r>
        <w:rPr>
          <w:color w:val="1F497D"/>
          <w:u w:color="1F497D"/>
        </w:rPr>
        <w:t>degli adempimenti da svolgere per conseguire questo risultato.</w:t>
      </w:r>
    </w:p>
    <w:p w14:paraId="7AAD3544" w14:textId="77777777" w:rsidR="00E42320" w:rsidRDefault="00E42320" w:rsidP="00A10577">
      <w:pPr>
        <w:jc w:val="both"/>
        <w:rPr>
          <w:color w:val="1F497D"/>
          <w:u w:color="1F497D"/>
        </w:rPr>
      </w:pPr>
    </w:p>
    <w:p w14:paraId="61E16F95" w14:textId="77777777" w:rsidR="00E42320" w:rsidRDefault="00E42320" w:rsidP="00A10577">
      <w:pPr>
        <w:jc w:val="both"/>
        <w:rPr>
          <w:color w:val="1F497D"/>
          <w:u w:color="1F497D"/>
        </w:rPr>
      </w:pPr>
    </w:p>
    <w:p w14:paraId="208286F7" w14:textId="77777777" w:rsidR="005E2710" w:rsidRDefault="005E2710" w:rsidP="00A10577">
      <w:pPr>
        <w:jc w:val="both"/>
        <w:rPr>
          <w:color w:val="1F497D"/>
          <w:u w:color="1F497D"/>
        </w:rPr>
      </w:pPr>
    </w:p>
    <w:p w14:paraId="4A80716B" w14:textId="77777777" w:rsidR="00E42320" w:rsidRDefault="00E42320" w:rsidP="00A10577">
      <w:pPr>
        <w:jc w:val="both"/>
        <w:rPr>
          <w:noProof/>
        </w:rPr>
      </w:pPr>
    </w:p>
    <w:p w14:paraId="3C8BFED9" w14:textId="77777777" w:rsidR="00E42320" w:rsidRDefault="00E42320" w:rsidP="00A10577">
      <w:pPr>
        <w:jc w:val="both"/>
        <w:rPr>
          <w:color w:val="1F497D"/>
          <w:sz w:val="36"/>
          <w:szCs w:val="36"/>
          <w:u w:color="1F497D"/>
        </w:rPr>
      </w:pPr>
    </w:p>
    <w:p w14:paraId="61BC90AA" w14:textId="77777777" w:rsidR="00E42320" w:rsidRDefault="00E42320" w:rsidP="00A10577">
      <w:pPr>
        <w:jc w:val="both"/>
        <w:rPr>
          <w:color w:val="1F497D"/>
          <w:sz w:val="36"/>
          <w:szCs w:val="36"/>
          <w:u w:color="1F497D"/>
        </w:rPr>
      </w:pPr>
    </w:p>
    <w:p w14:paraId="1A06AEB0" w14:textId="77777777" w:rsidR="009222EF" w:rsidRDefault="006C4800" w:rsidP="00A10577">
      <w:pPr>
        <w:jc w:val="both"/>
        <w:rPr>
          <w:color w:val="1F497D"/>
          <w:sz w:val="36"/>
          <w:szCs w:val="36"/>
          <w:u w:color="1F497D"/>
        </w:rPr>
      </w:pPr>
      <w:r>
        <w:rPr>
          <w:noProof/>
        </w:rPr>
        <w:drawing>
          <wp:anchor distT="57150" distB="57150" distL="57150" distR="57150" simplePos="0" relativeHeight="251699200" behindDoc="0" locked="0" layoutInCell="1" allowOverlap="1" wp14:anchorId="7C24E734" wp14:editId="2EC6ADED">
            <wp:simplePos x="0" y="0"/>
            <wp:positionH relativeFrom="margin">
              <wp:align>left</wp:align>
            </wp:positionH>
            <wp:positionV relativeFrom="line">
              <wp:posOffset>58420</wp:posOffset>
            </wp:positionV>
            <wp:extent cx="2726690" cy="1057275"/>
            <wp:effectExtent l="0" t="0" r="0" b="9525"/>
            <wp:wrapSquare wrapText="bothSides" distT="57150" distB="57150" distL="57150" distR="57150"/>
            <wp:docPr id="1073741827" name="officeArt object" descr="Fondo AgriCat"/>
            <wp:cNvGraphicFramePr/>
            <a:graphic xmlns:a="http://schemas.openxmlformats.org/drawingml/2006/main">
              <a:graphicData uri="http://schemas.openxmlformats.org/drawingml/2006/picture">
                <pic:pic xmlns:pic="http://schemas.openxmlformats.org/drawingml/2006/picture">
                  <pic:nvPicPr>
                    <pic:cNvPr id="1073741827" name="Fondo AgriCat" descr="Fondo AgriCat"/>
                    <pic:cNvPicPr>
                      <a:picLocks noChangeAspect="1"/>
                    </pic:cNvPicPr>
                  </pic:nvPicPr>
                  <pic:blipFill>
                    <a:blip r:embed="rId12"/>
                    <a:stretch>
                      <a:fillRect/>
                    </a:stretch>
                  </pic:blipFill>
                  <pic:spPr>
                    <a:xfrm>
                      <a:off x="0" y="0"/>
                      <a:ext cx="2741276" cy="106294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D68631E" w14:textId="77777777" w:rsidR="00A074E2" w:rsidRDefault="006C4800" w:rsidP="00A10577">
      <w:pPr>
        <w:jc w:val="both"/>
        <w:rPr>
          <w:color w:val="1F497D"/>
          <w:sz w:val="36"/>
          <w:szCs w:val="36"/>
          <w:u w:color="1F497D"/>
        </w:rPr>
      </w:pPr>
      <w:r>
        <w:rPr>
          <w:color w:val="1F497D"/>
          <w:sz w:val="36"/>
          <w:szCs w:val="36"/>
          <w:u w:color="1F497D"/>
        </w:rPr>
        <w:t>In arrivo i primi indennizzi per i danni alle produzioni agricole 2023</w:t>
      </w:r>
    </w:p>
    <w:p w14:paraId="78AF2CD1" w14:textId="77777777" w:rsidR="004C4483" w:rsidRDefault="004C4483" w:rsidP="00A10577">
      <w:pPr>
        <w:jc w:val="both"/>
        <w:rPr>
          <w:color w:val="1F497D"/>
          <w:sz w:val="36"/>
          <w:szCs w:val="36"/>
          <w:u w:color="1F497D"/>
        </w:rPr>
      </w:pPr>
    </w:p>
    <w:p w14:paraId="73575398" w14:textId="77777777" w:rsidR="00056C0B" w:rsidRDefault="00056C0B" w:rsidP="00A10577">
      <w:pPr>
        <w:jc w:val="both"/>
        <w:rPr>
          <w:color w:val="1F497D"/>
          <w:sz w:val="36"/>
          <w:szCs w:val="36"/>
          <w:u w:color="1F497D"/>
        </w:rPr>
      </w:pPr>
    </w:p>
    <w:p w14:paraId="782EF037" w14:textId="77777777" w:rsidR="00FD6901" w:rsidRDefault="00FD6901" w:rsidP="00E10F9F">
      <w:pPr>
        <w:jc w:val="both"/>
        <w:rPr>
          <w:color w:val="2F5496"/>
          <w:u w:color="2F5496"/>
        </w:rPr>
      </w:pPr>
    </w:p>
    <w:p w14:paraId="3BC273E1" w14:textId="77777777" w:rsidR="00E10F9F" w:rsidRDefault="00E10F9F" w:rsidP="00E10F9F">
      <w:pPr>
        <w:jc w:val="both"/>
        <w:rPr>
          <w:color w:val="2F5496"/>
          <w:u w:color="2F5496"/>
        </w:rPr>
      </w:pPr>
      <w:r>
        <w:rPr>
          <w:color w:val="2F5496"/>
          <w:u w:color="2F5496"/>
        </w:rPr>
        <w:t>AGRICAT è un Fondo di mutualità obbligatorio per tutti gli agricoltori che beneficiano di contributi PAC che è entrato in funzione il 1° gennaio 2023 con l’obiettivo di indennizzare parte dei danni causati alle coltivazioni da</w:t>
      </w:r>
      <w:r w:rsidR="00BE4247">
        <w:rPr>
          <w:color w:val="2F5496"/>
          <w:u w:color="2F5496"/>
        </w:rPr>
        <w:t>lle avversità atmosferiche catastrofali</w:t>
      </w:r>
      <w:r>
        <w:rPr>
          <w:color w:val="2F5496"/>
          <w:u w:color="2F5496"/>
        </w:rPr>
        <w:t xml:space="preserve"> alluvione, gelo/brina e siccità.</w:t>
      </w:r>
    </w:p>
    <w:p w14:paraId="2DE448FE" w14:textId="77777777" w:rsidR="00E10F9F" w:rsidRDefault="00E10F9F" w:rsidP="00E10F9F">
      <w:pPr>
        <w:jc w:val="both"/>
        <w:rPr>
          <w:color w:val="2F5496"/>
          <w:u w:color="2F5496"/>
        </w:rPr>
      </w:pPr>
      <w:r>
        <w:rPr>
          <w:color w:val="2F5496"/>
          <w:u w:color="2F5496"/>
        </w:rPr>
        <w:t>In concreto AGRICAT dovrebbe aver avuto a disposizione nel 2023 circa € 361.600.000,00 di cui € 108.000.000,00 derivante dal prelievo del 3% della PAC prelevato agli agricoltori e la restante parte (€ 253.600.000,00) da contributi europei e nazionali.</w:t>
      </w:r>
    </w:p>
    <w:p w14:paraId="29D11257" w14:textId="77777777" w:rsidR="00E10F9F" w:rsidRDefault="00E10F9F" w:rsidP="00E10F9F">
      <w:pPr>
        <w:jc w:val="both"/>
        <w:rPr>
          <w:color w:val="2F5496"/>
          <w:u w:color="2F5496"/>
        </w:rPr>
      </w:pPr>
      <w:r>
        <w:rPr>
          <w:color w:val="2F5496"/>
          <w:u w:color="2F5496"/>
        </w:rPr>
        <w:t xml:space="preserve">Ora, con decreto n. 79-92-2023-0002 emesso a fine maggio sono stati effettuati i primi pagamenti di un acconto del 30% sugli indennizzi relativi alle </w:t>
      </w:r>
      <w:r w:rsidR="00A81D9E">
        <w:rPr>
          <w:color w:val="2F5496"/>
          <w:u w:color="2F5496"/>
        </w:rPr>
        <w:t xml:space="preserve">1.112 </w:t>
      </w:r>
      <w:r>
        <w:rPr>
          <w:color w:val="2F5496"/>
          <w:u w:color="2F5496"/>
        </w:rPr>
        <w:t xml:space="preserve">denunce di sinistro </w:t>
      </w:r>
      <w:r w:rsidR="00A81D9E">
        <w:rPr>
          <w:color w:val="2F5496"/>
          <w:u w:color="2F5496"/>
        </w:rPr>
        <w:t>presentate entro il 15 settembre 2023.</w:t>
      </w:r>
      <w:r>
        <w:rPr>
          <w:color w:val="2F5496"/>
          <w:u w:color="2F5496"/>
        </w:rPr>
        <w:t xml:space="preserve"> </w:t>
      </w:r>
    </w:p>
    <w:p w14:paraId="54B953D1" w14:textId="77777777" w:rsidR="00A81D9E" w:rsidRDefault="00A81D9E" w:rsidP="00E10F9F">
      <w:pPr>
        <w:jc w:val="both"/>
        <w:rPr>
          <w:color w:val="2F5496"/>
          <w:u w:color="2F5496"/>
        </w:rPr>
      </w:pPr>
      <w:r>
        <w:rPr>
          <w:color w:val="2F5496"/>
          <w:u w:color="2F5496"/>
        </w:rPr>
        <w:t>In pratica si tratta di € 9.848.780,93 che perverranno a 1.096 beneficiari.</w:t>
      </w:r>
    </w:p>
    <w:p w14:paraId="64D16C50" w14:textId="77777777" w:rsidR="00B5022B" w:rsidRDefault="00B5022B" w:rsidP="00E10F9F">
      <w:pPr>
        <w:jc w:val="both"/>
        <w:rPr>
          <w:color w:val="2F5496"/>
          <w:u w:color="2F5496"/>
        </w:rPr>
      </w:pPr>
      <w:r>
        <w:rPr>
          <w:color w:val="2F5496"/>
          <w:u w:color="2F5496"/>
        </w:rPr>
        <w:t>Gli indennizzi dovrebbero riguardare prevalentemente alcune gelate primaverili e soprattutto gli eventi alluvionali del 15, 16 e 17 maggio 2023 che hanno colpito soprattutto l’Emilia Romagna.</w:t>
      </w:r>
    </w:p>
    <w:p w14:paraId="51352EC6" w14:textId="77777777" w:rsidR="00B5022B" w:rsidRDefault="00B5022B" w:rsidP="00E10F9F">
      <w:pPr>
        <w:jc w:val="both"/>
        <w:rPr>
          <w:color w:val="2F5496"/>
          <w:u w:color="2F5496"/>
        </w:rPr>
      </w:pPr>
      <w:r>
        <w:rPr>
          <w:color w:val="2F5496"/>
          <w:u w:color="2F5496"/>
        </w:rPr>
        <w:t xml:space="preserve">Al momento le somme erogate risultano assai modeste. </w:t>
      </w:r>
      <w:r w:rsidR="0056705A">
        <w:rPr>
          <w:color w:val="2F5496"/>
          <w:u w:color="2F5496"/>
        </w:rPr>
        <w:t>Occorrerà quindi attendere ulteriori provvedimenti per valutare l’effettiva valenza di questo nuovo strumento di gestione dei rischi agricoli catastrofali.</w:t>
      </w:r>
    </w:p>
    <w:p w14:paraId="0050497C" w14:textId="77777777" w:rsidR="00E10F9F" w:rsidRDefault="00E10F9F" w:rsidP="00E10F9F">
      <w:pPr>
        <w:jc w:val="both"/>
        <w:rPr>
          <w:color w:val="2F5496"/>
          <w:u w:color="2F5496"/>
        </w:rPr>
      </w:pPr>
      <w:r>
        <w:rPr>
          <w:color w:val="2F5496"/>
          <w:u w:color="2F5496"/>
        </w:rPr>
        <w:t>Per ulteriori informazioni:</w:t>
      </w:r>
    </w:p>
    <w:p w14:paraId="231FCE93" w14:textId="77777777" w:rsidR="00E10F9F" w:rsidRDefault="00E10F9F" w:rsidP="00E10F9F">
      <w:pPr>
        <w:jc w:val="both"/>
        <w:rPr>
          <w:b/>
          <w:bCs/>
          <w:color w:val="2F5496"/>
          <w:u w:color="2F5496"/>
        </w:rPr>
      </w:pPr>
      <w:r>
        <w:rPr>
          <w:b/>
          <w:bCs/>
          <w:color w:val="2F5496"/>
          <w:u w:color="2F5496"/>
        </w:rPr>
        <w:t>https://www.politicheagricole.it/flex/cm/pages/ServeBLOB.php/L/IT/IDPagina/19453</w:t>
      </w:r>
    </w:p>
    <w:p w14:paraId="16449D8C" w14:textId="77777777" w:rsidR="00E42320" w:rsidRDefault="00E42320" w:rsidP="00A10577">
      <w:pPr>
        <w:jc w:val="both"/>
        <w:rPr>
          <w:color w:val="1F497D"/>
          <w:sz w:val="36"/>
          <w:szCs w:val="36"/>
          <w:u w:color="1F497D"/>
        </w:rPr>
      </w:pPr>
    </w:p>
    <w:p w14:paraId="615CB1F0" w14:textId="77777777" w:rsidR="00A074E2" w:rsidRDefault="00A074E2" w:rsidP="00A10577">
      <w:pPr>
        <w:jc w:val="both"/>
        <w:rPr>
          <w:color w:val="1F497D"/>
          <w:sz w:val="36"/>
          <w:szCs w:val="36"/>
          <w:u w:color="1F497D"/>
        </w:rPr>
      </w:pPr>
    </w:p>
    <w:p w14:paraId="3C23393A" w14:textId="77777777" w:rsidR="00A074E2" w:rsidRDefault="00056C0B" w:rsidP="00A10577">
      <w:pPr>
        <w:jc w:val="both"/>
        <w:rPr>
          <w:color w:val="1F497D"/>
          <w:sz w:val="36"/>
          <w:szCs w:val="36"/>
          <w:u w:color="1F497D"/>
        </w:rPr>
      </w:pPr>
      <w:r>
        <w:rPr>
          <w:noProof/>
        </w:rPr>
        <w:drawing>
          <wp:anchor distT="0" distB="0" distL="114300" distR="114300" simplePos="0" relativeHeight="251700224" behindDoc="0" locked="0" layoutInCell="1" allowOverlap="1" wp14:anchorId="170B36A4" wp14:editId="243BE761">
            <wp:simplePos x="0" y="0"/>
            <wp:positionH relativeFrom="margin">
              <wp:align>left</wp:align>
            </wp:positionH>
            <wp:positionV relativeFrom="paragraph">
              <wp:posOffset>190500</wp:posOffset>
            </wp:positionV>
            <wp:extent cx="2877820" cy="1918335"/>
            <wp:effectExtent l="0" t="0" r="0" b="571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149" cy="19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73545" w14:textId="77777777" w:rsidR="00225F00" w:rsidRDefault="00225F00" w:rsidP="000B504E">
      <w:pPr>
        <w:jc w:val="both"/>
        <w:rPr>
          <w:color w:val="1F497D"/>
          <w:sz w:val="36"/>
          <w:szCs w:val="36"/>
          <w:u w:color="1F497D"/>
        </w:rPr>
      </w:pPr>
    </w:p>
    <w:p w14:paraId="62A371AE" w14:textId="77777777" w:rsidR="000E0B35" w:rsidRDefault="000E0B35" w:rsidP="000B504E">
      <w:pPr>
        <w:jc w:val="both"/>
        <w:rPr>
          <w:color w:val="1F497D"/>
          <w:sz w:val="36"/>
          <w:szCs w:val="36"/>
          <w:u w:color="1F497D"/>
        </w:rPr>
      </w:pPr>
    </w:p>
    <w:p w14:paraId="334D0358" w14:textId="77777777" w:rsidR="000072A8" w:rsidRDefault="000E0B35" w:rsidP="000B504E">
      <w:pPr>
        <w:jc w:val="both"/>
        <w:rPr>
          <w:color w:val="1F497D"/>
          <w:sz w:val="36"/>
          <w:szCs w:val="36"/>
          <w:u w:color="1F497D"/>
        </w:rPr>
      </w:pPr>
      <w:r>
        <w:rPr>
          <w:color w:val="1F497D"/>
          <w:sz w:val="36"/>
          <w:szCs w:val="36"/>
          <w:u w:color="1F497D"/>
        </w:rPr>
        <w:t>Danni da grandine sull’uva da vino</w:t>
      </w:r>
    </w:p>
    <w:p w14:paraId="2C86065C" w14:textId="77777777" w:rsidR="000E0B35" w:rsidRPr="000E0B35" w:rsidRDefault="000E0B35" w:rsidP="000B504E">
      <w:pPr>
        <w:jc w:val="both"/>
        <w:rPr>
          <w:color w:val="1F497D"/>
          <w:sz w:val="36"/>
          <w:szCs w:val="36"/>
          <w:u w:color="1F497D"/>
        </w:rPr>
      </w:pPr>
      <w:r w:rsidRPr="000E0B35">
        <w:rPr>
          <w:color w:val="1F497D"/>
          <w:sz w:val="36"/>
          <w:szCs w:val="36"/>
          <w:u w:color="1F497D"/>
        </w:rPr>
        <w:t>Ecco come si svolge la perizia</w:t>
      </w:r>
    </w:p>
    <w:p w14:paraId="2CAEC486" w14:textId="77777777" w:rsidR="000B504E" w:rsidRDefault="000B504E" w:rsidP="00DB3A15">
      <w:pPr>
        <w:jc w:val="both"/>
        <w:rPr>
          <w:color w:val="1F497D"/>
          <w:u w:color="1F497D"/>
        </w:rPr>
      </w:pPr>
    </w:p>
    <w:p w14:paraId="47B61EFF" w14:textId="77777777" w:rsidR="00225F00" w:rsidRDefault="00225F00" w:rsidP="00DB3A15">
      <w:pPr>
        <w:jc w:val="both"/>
        <w:rPr>
          <w:color w:val="1F497D"/>
          <w:u w:color="1F497D"/>
        </w:rPr>
      </w:pPr>
    </w:p>
    <w:p w14:paraId="30D00011" w14:textId="77777777" w:rsidR="00225F00" w:rsidRDefault="00225F00" w:rsidP="00DB3A15">
      <w:pPr>
        <w:jc w:val="both"/>
        <w:rPr>
          <w:color w:val="1F497D"/>
          <w:u w:color="1F497D"/>
        </w:rPr>
      </w:pPr>
    </w:p>
    <w:p w14:paraId="369F6770" w14:textId="77777777" w:rsidR="00056C0B" w:rsidRDefault="00056C0B" w:rsidP="0017370B">
      <w:pPr>
        <w:jc w:val="both"/>
        <w:rPr>
          <w:color w:val="1F497D"/>
        </w:rPr>
      </w:pPr>
    </w:p>
    <w:p w14:paraId="1C5016AC" w14:textId="77777777" w:rsidR="00056C0B" w:rsidRDefault="00056C0B" w:rsidP="0017370B">
      <w:pPr>
        <w:jc w:val="both"/>
        <w:rPr>
          <w:color w:val="1F497D"/>
        </w:rPr>
      </w:pPr>
    </w:p>
    <w:p w14:paraId="478275F0" w14:textId="77777777" w:rsidR="00056C0B" w:rsidRDefault="00056C0B" w:rsidP="0017370B">
      <w:pPr>
        <w:jc w:val="both"/>
        <w:rPr>
          <w:color w:val="1F497D"/>
        </w:rPr>
      </w:pPr>
      <w:r>
        <w:rPr>
          <w:color w:val="1F497D"/>
        </w:rPr>
        <w:t>La rilevazione dei danni da grandine viene condotta dai periti delle varie Compagnie di assicurazione secondo le modalità previste della Condizioni di polizza.</w:t>
      </w:r>
    </w:p>
    <w:p w14:paraId="72F34D87" w14:textId="77777777" w:rsidR="00056C0B" w:rsidRDefault="00056C0B" w:rsidP="0017370B">
      <w:pPr>
        <w:jc w:val="both"/>
        <w:rPr>
          <w:color w:val="1F497D"/>
        </w:rPr>
      </w:pPr>
      <w:r>
        <w:rPr>
          <w:color w:val="1F497D"/>
        </w:rPr>
        <w:t>In linea di massima i periti accertano in primo lu</w:t>
      </w:r>
      <w:r w:rsidR="00ED08E4">
        <w:rPr>
          <w:color w:val="1F497D"/>
        </w:rPr>
        <w:t>ogo l’ubicazione del vigneto, la corrispondenza dei dati catastali e le condizioni generali del vigneto</w:t>
      </w:r>
      <w:r w:rsidR="00305CF6">
        <w:rPr>
          <w:color w:val="1F497D"/>
        </w:rPr>
        <w:t>,</w:t>
      </w:r>
      <w:r w:rsidR="00ED08E4">
        <w:rPr>
          <w:color w:val="1F497D"/>
        </w:rPr>
        <w:t xml:space="preserve"> per verificare che sia in grado di produrre la quantità di uva assicurata.</w:t>
      </w:r>
    </w:p>
    <w:p w14:paraId="7AF22FF9" w14:textId="77777777" w:rsidR="00ED08E4" w:rsidRDefault="00ED08E4" w:rsidP="0017370B">
      <w:pPr>
        <w:jc w:val="both"/>
        <w:rPr>
          <w:color w:val="1F497D"/>
        </w:rPr>
      </w:pPr>
      <w:r>
        <w:rPr>
          <w:color w:val="1F497D"/>
        </w:rPr>
        <w:lastRenderedPageBreak/>
        <w:t>Fino a non molti anni fa i periti determinavano la percentuale di danno provocata dalla grandine iniziando con l’</w:t>
      </w:r>
      <w:r w:rsidR="00305CF6">
        <w:rPr>
          <w:color w:val="1F497D"/>
        </w:rPr>
        <w:t xml:space="preserve">esame di </w:t>
      </w:r>
      <w:r>
        <w:rPr>
          <w:color w:val="1F497D"/>
        </w:rPr>
        <w:t xml:space="preserve">alcuni grappoli contando gli acini presenti e quelli perduti, per procedere poi ad un’analisi speditiva </w:t>
      </w:r>
      <w:r w:rsidR="00305CF6">
        <w:rPr>
          <w:color w:val="1F497D"/>
        </w:rPr>
        <w:t>lungo</w:t>
      </w:r>
      <w:r>
        <w:rPr>
          <w:color w:val="1F497D"/>
        </w:rPr>
        <w:t xml:space="preserve"> un tratto di filare </w:t>
      </w:r>
      <w:r w:rsidR="00305CF6">
        <w:rPr>
          <w:color w:val="1F497D"/>
        </w:rPr>
        <w:t>per</w:t>
      </w:r>
      <w:r>
        <w:rPr>
          <w:color w:val="1F497D"/>
        </w:rPr>
        <w:t xml:space="preserve"> attribuendo un percentuale di </w:t>
      </w:r>
      <w:r w:rsidR="0051495E">
        <w:rPr>
          <w:color w:val="1F497D"/>
        </w:rPr>
        <w:t>danno ad ogni grappolo presente e calcolando una percentuale media di perdita di quantità. Può essere necessario effettuare più analisi in zone diverse del vigneto e poi calcolare il danno medio.</w:t>
      </w:r>
    </w:p>
    <w:p w14:paraId="38274E15" w14:textId="77777777" w:rsidR="0051495E" w:rsidRDefault="0051495E" w:rsidP="0017370B">
      <w:pPr>
        <w:jc w:val="both"/>
        <w:rPr>
          <w:color w:val="1F497D"/>
        </w:rPr>
      </w:pPr>
      <w:r>
        <w:rPr>
          <w:color w:val="1F497D"/>
        </w:rPr>
        <w:t>Una volta accertata la perdita di peso, se la polizza lo precede, viene aggiunta una percentuale per danno di qualità, in base ad una tabella convenzionale prevista nel contratto assicurativo.</w:t>
      </w:r>
    </w:p>
    <w:p w14:paraId="56EB4163" w14:textId="77777777" w:rsidR="0051495E" w:rsidRDefault="0051495E" w:rsidP="0017370B">
      <w:pPr>
        <w:jc w:val="both"/>
        <w:rPr>
          <w:color w:val="1F497D"/>
        </w:rPr>
      </w:pPr>
      <w:r>
        <w:rPr>
          <w:color w:val="1F497D"/>
        </w:rPr>
        <w:t xml:space="preserve">Questa metodologia è ancora utilizzata per periziare le polizze </w:t>
      </w:r>
      <w:r w:rsidR="00D55F84">
        <w:rPr>
          <w:color w:val="1F497D"/>
        </w:rPr>
        <w:t>non agevolate dal contributo pubblico.</w:t>
      </w:r>
    </w:p>
    <w:p w14:paraId="1A3850ED" w14:textId="77777777" w:rsidR="00D55F84" w:rsidRDefault="00D55F84" w:rsidP="0017370B">
      <w:pPr>
        <w:jc w:val="both"/>
        <w:rPr>
          <w:color w:val="1F497D"/>
        </w:rPr>
      </w:pPr>
      <w:r>
        <w:rPr>
          <w:color w:val="1F497D"/>
        </w:rPr>
        <w:t xml:space="preserve">Da alcuni anni invece, per le polizze agevolate, la perizia è ricolta a determinare </w:t>
      </w:r>
      <w:r w:rsidR="00305CF6">
        <w:rPr>
          <w:color w:val="1F497D"/>
        </w:rPr>
        <w:t xml:space="preserve">in primo luogo </w:t>
      </w:r>
      <w:r>
        <w:rPr>
          <w:color w:val="1F497D"/>
        </w:rPr>
        <w:t xml:space="preserve">la </w:t>
      </w:r>
      <w:r w:rsidR="00E013D4">
        <w:rPr>
          <w:color w:val="1F497D"/>
        </w:rPr>
        <w:t xml:space="preserve">resa produttiva in </w:t>
      </w:r>
      <w:r>
        <w:rPr>
          <w:color w:val="1F497D"/>
        </w:rPr>
        <w:t>quantità di uva ancora presente nel vigneto dopo l’evento dannoso e la percentuale di danno è calcolata per differenza tra la quantità assicurata e la quantità ancora presente</w:t>
      </w:r>
      <w:r w:rsidR="00E013D4">
        <w:rPr>
          <w:color w:val="1F497D"/>
        </w:rPr>
        <w:t xml:space="preserve">, </w:t>
      </w:r>
      <w:r w:rsidR="00BC32E0">
        <w:rPr>
          <w:color w:val="1F497D"/>
        </w:rPr>
        <w:t>diviso la quantità assicurata (es: 100 – 40 = 60/100 = 60% di perdita di peso</w:t>
      </w:r>
      <w:r w:rsidR="00305CF6">
        <w:rPr>
          <w:color w:val="1F497D"/>
        </w:rPr>
        <w:t>)</w:t>
      </w:r>
      <w:r w:rsidR="00BC32E0">
        <w:rPr>
          <w:color w:val="1F497D"/>
        </w:rPr>
        <w:t>.</w:t>
      </w:r>
    </w:p>
    <w:p w14:paraId="7D856564" w14:textId="77777777" w:rsidR="00BC32E0" w:rsidRDefault="00BC32E0" w:rsidP="0017370B">
      <w:pPr>
        <w:jc w:val="both"/>
        <w:rPr>
          <w:color w:val="1F497D"/>
        </w:rPr>
      </w:pPr>
      <w:r>
        <w:rPr>
          <w:color w:val="1F497D"/>
        </w:rPr>
        <w:t>La determinazione della quantità di uva presente dopo il sinistro è complessa in quanto può richiedere la pesatur</w:t>
      </w:r>
      <w:r w:rsidR="00E013D4">
        <w:rPr>
          <w:color w:val="1F497D"/>
        </w:rPr>
        <w:t>a</w:t>
      </w:r>
      <w:r>
        <w:rPr>
          <w:color w:val="1F497D"/>
        </w:rPr>
        <w:t xml:space="preserve"> di più campioni di grappoli effettuata in prossimità della raccolta e deve tenere </w:t>
      </w:r>
      <w:r w:rsidR="00305CF6">
        <w:rPr>
          <w:color w:val="1F497D"/>
        </w:rPr>
        <w:t xml:space="preserve">conto </w:t>
      </w:r>
      <w:r w:rsidR="00E013D4">
        <w:rPr>
          <w:color w:val="1F497D"/>
        </w:rPr>
        <w:t xml:space="preserve">della produzione media per pianta, </w:t>
      </w:r>
      <w:r>
        <w:rPr>
          <w:color w:val="1F497D"/>
        </w:rPr>
        <w:t xml:space="preserve">del sesto di impianto del vigneto e del numero delle eventuali viti mancati, che a volte può essere rilevante, per via della Flavescenza dorata e del </w:t>
      </w:r>
      <w:r w:rsidR="00305CF6">
        <w:rPr>
          <w:color w:val="1F497D"/>
        </w:rPr>
        <w:t>M</w:t>
      </w:r>
      <w:r>
        <w:rPr>
          <w:color w:val="1F497D"/>
        </w:rPr>
        <w:t>al dell’esca.</w:t>
      </w:r>
    </w:p>
    <w:p w14:paraId="018FB09B" w14:textId="77777777" w:rsidR="00BC32E0" w:rsidRDefault="00BC32E0" w:rsidP="0017370B">
      <w:pPr>
        <w:jc w:val="both"/>
        <w:rPr>
          <w:color w:val="1F497D"/>
        </w:rPr>
      </w:pPr>
      <w:r>
        <w:rPr>
          <w:color w:val="1F497D"/>
        </w:rPr>
        <w:t xml:space="preserve">Anche in questo caso può essere ammesso al risarcimento il danno di qualità </w:t>
      </w:r>
      <w:r w:rsidR="00E013D4">
        <w:rPr>
          <w:color w:val="1F497D"/>
        </w:rPr>
        <w:t>che può essere calcolato in base ad una tabella convenzionale o</w:t>
      </w:r>
      <w:r w:rsidR="00305CF6">
        <w:rPr>
          <w:color w:val="1F497D"/>
        </w:rPr>
        <w:t xml:space="preserve"> </w:t>
      </w:r>
      <w:r w:rsidR="00E013D4">
        <w:rPr>
          <w:color w:val="1F497D"/>
        </w:rPr>
        <w:t>valutato in campo dal perito mediante una campionatura dell’uva danneggiata.</w:t>
      </w:r>
    </w:p>
    <w:p w14:paraId="0076E6C8" w14:textId="77777777" w:rsidR="00ED08E4" w:rsidRDefault="00E013D4" w:rsidP="0017370B">
      <w:pPr>
        <w:jc w:val="both"/>
        <w:rPr>
          <w:color w:val="1F497D"/>
        </w:rPr>
      </w:pPr>
      <w:r>
        <w:rPr>
          <w:color w:val="1F497D"/>
        </w:rPr>
        <w:t>Perché questo tipo di perizia non risulti penalizzante</w:t>
      </w:r>
      <w:r w:rsidR="00305CF6">
        <w:rPr>
          <w:color w:val="1F497D"/>
        </w:rPr>
        <w:t>,</w:t>
      </w:r>
      <w:r>
        <w:rPr>
          <w:color w:val="1F497D"/>
        </w:rPr>
        <w:t xml:space="preserve"> è necessario che la quantità di uva assicurata in polizza sia il più possibile rispondente a quella che il vigneto può mediamente produrre.</w:t>
      </w:r>
    </w:p>
    <w:p w14:paraId="6C802A2C" w14:textId="77777777" w:rsidR="00E013D4" w:rsidRDefault="00E013D4" w:rsidP="0017370B">
      <w:pPr>
        <w:jc w:val="both"/>
        <w:rPr>
          <w:color w:val="1F497D"/>
        </w:rPr>
      </w:pPr>
      <w:r>
        <w:rPr>
          <w:color w:val="1F497D"/>
        </w:rPr>
        <w:t xml:space="preserve">Un errore da evitare assolutamente è quello di cercare di ridurre il valore assicurato </w:t>
      </w:r>
      <w:r w:rsidR="004A1ACC">
        <w:rPr>
          <w:color w:val="1F497D"/>
        </w:rPr>
        <w:t>per rendere meno costosa la polizza</w:t>
      </w:r>
      <w:r w:rsidR="00974598">
        <w:rPr>
          <w:color w:val="1F497D"/>
        </w:rPr>
        <w:t>,</w:t>
      </w:r>
      <w:r w:rsidR="004A1ACC">
        <w:rPr>
          <w:color w:val="1F497D"/>
        </w:rPr>
        <w:t xml:space="preserve"> indicando una quantità di uva inferiore. In questo caso la differenza tra quantità di uva presente dopo il sinistro e quantità assicurata si riduce e così anche la percentuale di danno che </w:t>
      </w:r>
      <w:r w:rsidR="00305CF6">
        <w:rPr>
          <w:color w:val="1F497D"/>
        </w:rPr>
        <w:t>potrebbe</w:t>
      </w:r>
      <w:r w:rsidR="004A1ACC">
        <w:rPr>
          <w:color w:val="1F497D"/>
        </w:rPr>
        <w:t xml:space="preserve"> anche andare a zero.</w:t>
      </w:r>
      <w:r w:rsidR="00305CF6">
        <w:rPr>
          <w:color w:val="1F497D"/>
        </w:rPr>
        <w:t xml:space="preserve"> Per ridurre il valore assicurato bisogna invece adottare un prezzo al quintale inferiore.</w:t>
      </w:r>
    </w:p>
    <w:p w14:paraId="0BDEC313" w14:textId="77777777" w:rsidR="00ED08E4" w:rsidRDefault="00ED08E4" w:rsidP="0017370B">
      <w:pPr>
        <w:jc w:val="both"/>
        <w:rPr>
          <w:color w:val="1F497D"/>
        </w:rPr>
      </w:pPr>
    </w:p>
    <w:p w14:paraId="7BEE560A" w14:textId="77777777" w:rsidR="00ED08E4" w:rsidRDefault="00ED08E4" w:rsidP="0017370B">
      <w:pPr>
        <w:jc w:val="both"/>
        <w:rPr>
          <w:color w:val="1F497D"/>
        </w:rPr>
      </w:pPr>
    </w:p>
    <w:p w14:paraId="0167A8EF" w14:textId="77777777" w:rsidR="00ED08E4" w:rsidRDefault="00ED08E4" w:rsidP="0017370B">
      <w:pPr>
        <w:jc w:val="both"/>
        <w:rPr>
          <w:color w:val="1F497D"/>
        </w:rPr>
      </w:pPr>
    </w:p>
    <w:p w14:paraId="00C89080" w14:textId="77777777" w:rsidR="00ED08E4" w:rsidRDefault="0051495E" w:rsidP="0017370B">
      <w:pPr>
        <w:jc w:val="both"/>
        <w:rPr>
          <w:color w:val="1F497D"/>
        </w:rPr>
      </w:pPr>
      <w:r>
        <w:rPr>
          <w:noProof/>
        </w:rPr>
        <w:drawing>
          <wp:anchor distT="0" distB="0" distL="114300" distR="114300" simplePos="0" relativeHeight="251670528" behindDoc="1" locked="0" layoutInCell="1" allowOverlap="1" wp14:anchorId="292837C0" wp14:editId="06EF8D7B">
            <wp:simplePos x="0" y="0"/>
            <wp:positionH relativeFrom="margin">
              <wp:align>left</wp:align>
            </wp:positionH>
            <wp:positionV relativeFrom="paragraph">
              <wp:posOffset>109220</wp:posOffset>
            </wp:positionV>
            <wp:extent cx="1629410" cy="1221740"/>
            <wp:effectExtent l="0" t="0" r="8890" b="0"/>
            <wp:wrapTight wrapText="bothSides">
              <wp:wrapPolygon edited="0">
                <wp:start x="0" y="0"/>
                <wp:lineTo x="0" y="21218"/>
                <wp:lineTo x="21465" y="21218"/>
                <wp:lineTo x="2146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colorTemperature colorTemp="3733"/>
                              </a14:imgEffect>
                            </a14:imgLayer>
                          </a14:imgProps>
                        </a:ext>
                        <a:ext uri="{28A0092B-C50C-407E-A947-70E740481C1C}">
                          <a14:useLocalDpi xmlns:a14="http://schemas.microsoft.com/office/drawing/2010/main" val="0"/>
                        </a:ext>
                      </a:extLst>
                    </a:blip>
                    <a:srcRect/>
                    <a:stretch>
                      <a:fillRect/>
                    </a:stretch>
                  </pic:blipFill>
                  <pic:spPr bwMode="auto">
                    <a:xfrm>
                      <a:off x="0" y="0"/>
                      <a:ext cx="1657804" cy="1243116"/>
                    </a:xfrm>
                    <a:prstGeom prst="rect">
                      <a:avLst/>
                    </a:prstGeom>
                    <a:noFill/>
                    <a:ln>
                      <a:noFill/>
                    </a:ln>
                    <a:effectLst>
                      <a:softEdge rad="50800"/>
                    </a:effectLst>
                  </pic:spPr>
                </pic:pic>
              </a:graphicData>
            </a:graphic>
            <wp14:sizeRelH relativeFrom="margin">
              <wp14:pctWidth>0</wp14:pctWidth>
            </wp14:sizeRelH>
            <wp14:sizeRelV relativeFrom="margin">
              <wp14:pctHeight>0</wp14:pctHeight>
            </wp14:sizeRelV>
          </wp:anchor>
        </w:drawing>
      </w:r>
    </w:p>
    <w:p w14:paraId="295C3068" w14:textId="77777777" w:rsidR="00ED08E4" w:rsidRDefault="00ED08E4" w:rsidP="0017370B">
      <w:pPr>
        <w:jc w:val="both"/>
        <w:rPr>
          <w:color w:val="1F497D"/>
        </w:rPr>
      </w:pPr>
    </w:p>
    <w:p w14:paraId="50B9C3B5" w14:textId="77777777" w:rsidR="00643204" w:rsidRDefault="00F93524" w:rsidP="00F93524">
      <w:pPr>
        <w:rPr>
          <w:color w:val="2F5496"/>
          <w:sz w:val="36"/>
          <w:szCs w:val="36"/>
          <w:u w:color="2F5496"/>
        </w:rPr>
      </w:pPr>
      <w:r>
        <w:rPr>
          <w:color w:val="2F5496"/>
          <w:sz w:val="36"/>
          <w:szCs w:val="36"/>
          <w:u w:color="2F5496"/>
        </w:rPr>
        <w:t xml:space="preserve">         </w:t>
      </w:r>
    </w:p>
    <w:p w14:paraId="0195D19C" w14:textId="77777777" w:rsidR="00E16269" w:rsidRDefault="00AF2678" w:rsidP="00F93524">
      <w:pPr>
        <w:rPr>
          <w:color w:val="2F5496"/>
          <w:sz w:val="36"/>
          <w:szCs w:val="36"/>
          <w:u w:color="2F5496"/>
        </w:rPr>
      </w:pPr>
      <w:r>
        <w:rPr>
          <w:color w:val="2F5496"/>
          <w:sz w:val="36"/>
          <w:szCs w:val="36"/>
          <w:u w:color="2F5496"/>
        </w:rPr>
        <w:t>Scadenze mensili da ricordare</w:t>
      </w:r>
    </w:p>
    <w:p w14:paraId="6B96F72E" w14:textId="77777777" w:rsidR="00056C0B" w:rsidRDefault="00056C0B" w:rsidP="00F93524">
      <w:pPr>
        <w:rPr>
          <w:color w:val="2F5496"/>
          <w:sz w:val="36"/>
          <w:szCs w:val="36"/>
          <w:u w:color="2F5496"/>
        </w:rPr>
      </w:pPr>
    </w:p>
    <w:p w14:paraId="199591AE" w14:textId="77777777" w:rsidR="00056C0B" w:rsidRDefault="00056C0B" w:rsidP="00F93524">
      <w:pPr>
        <w:rPr>
          <w:color w:val="2F5496"/>
          <w:sz w:val="36"/>
          <w:szCs w:val="36"/>
          <w:u w:color="2F5496"/>
        </w:rPr>
      </w:pPr>
    </w:p>
    <w:p w14:paraId="1A0289DE" w14:textId="77777777" w:rsidR="00E16269" w:rsidRDefault="00E16269">
      <w:pPr>
        <w:ind w:left="4248" w:firstLine="708"/>
        <w:rPr>
          <w:color w:val="2F5496"/>
          <w:sz w:val="36"/>
          <w:szCs w:val="36"/>
          <w:u w:color="2F5496"/>
        </w:rPr>
      </w:pPr>
    </w:p>
    <w:p w14:paraId="6E6FD254" w14:textId="77777777" w:rsidR="00C43D1A" w:rsidRDefault="00C43D1A" w:rsidP="00C43D1A">
      <w:pPr>
        <w:jc w:val="both"/>
        <w:rPr>
          <w:color w:val="2F5496"/>
          <w:u w:color="2F5496"/>
        </w:rPr>
      </w:pPr>
      <w:r w:rsidRPr="00AC6520">
        <w:rPr>
          <w:b/>
          <w:color w:val="2F5496"/>
          <w:u w:color="2F5496"/>
        </w:rPr>
        <w:t>15 luglio 202</w:t>
      </w:r>
      <w:r>
        <w:rPr>
          <w:b/>
          <w:color w:val="2F5496"/>
          <w:u w:color="2F5496"/>
        </w:rPr>
        <w:t>4</w:t>
      </w:r>
      <w:r>
        <w:rPr>
          <w:color w:val="2F5496"/>
          <w:u w:color="2F5496"/>
        </w:rPr>
        <w:t xml:space="preserve"> - </w:t>
      </w:r>
      <w:r>
        <w:rPr>
          <w:color w:val="1F497D"/>
          <w:u w:color="1F497D"/>
        </w:rPr>
        <w:t>Termine per la stipula delle polizze agevolate contro le avversità atmosferiche 202</w:t>
      </w:r>
      <w:r w:rsidR="00896643">
        <w:rPr>
          <w:color w:val="1F497D"/>
          <w:u w:color="1F497D"/>
        </w:rPr>
        <w:t>4</w:t>
      </w:r>
      <w:r>
        <w:rPr>
          <w:color w:val="1F497D"/>
          <w:u w:color="1F497D"/>
        </w:rPr>
        <w:t xml:space="preserve"> delle colture a ciclo estivo, di secondo raccolto, trapiantate, strutture aziendali e allevamenti.</w:t>
      </w:r>
    </w:p>
    <w:p w14:paraId="52E4C1B2" w14:textId="77777777" w:rsidR="00DA51BB" w:rsidRDefault="00DA51BB" w:rsidP="00DA51BB">
      <w:pPr>
        <w:jc w:val="both"/>
        <w:rPr>
          <w:color w:val="2F5496"/>
          <w:u w:color="2F5496"/>
        </w:rPr>
      </w:pPr>
      <w:r w:rsidRPr="00AD54A2">
        <w:rPr>
          <w:b/>
          <w:color w:val="2F5496"/>
          <w:u w:color="2F5496"/>
        </w:rPr>
        <w:t xml:space="preserve">15 </w:t>
      </w:r>
      <w:r>
        <w:rPr>
          <w:b/>
          <w:color w:val="2F5496"/>
          <w:u w:color="2F5496"/>
        </w:rPr>
        <w:t>luglio</w:t>
      </w:r>
      <w:r w:rsidRPr="00AD54A2">
        <w:rPr>
          <w:b/>
          <w:color w:val="2F5496"/>
          <w:u w:color="2F5496"/>
        </w:rPr>
        <w:t xml:space="preserve"> 2024</w:t>
      </w:r>
      <w:r>
        <w:rPr>
          <w:color w:val="2F5496"/>
          <w:u w:color="2F5496"/>
        </w:rPr>
        <w:t xml:space="preserve"> – Fondo AGRICAT – termine per la presentazione di denunce di sinistro relative a danni causati da eventi </w:t>
      </w:r>
      <w:proofErr w:type="spellStart"/>
      <w:r>
        <w:rPr>
          <w:color w:val="2F5496"/>
          <w:u w:color="2F5496"/>
        </w:rPr>
        <w:t>catostrofali</w:t>
      </w:r>
      <w:proofErr w:type="spellEnd"/>
      <w:r>
        <w:rPr>
          <w:color w:val="2F5496"/>
          <w:u w:color="2F5496"/>
        </w:rPr>
        <w:t xml:space="preserve"> (alluvione, gelo/brina, siccità) che hanno colpito o che colpiranno le produzioni agricole dal 1° gennaio 2024 al 15 giugno 2024. Per gli eventi che si manifesteranno dal 16 giugno 2024 le denunce di sinistro dovranno essere presentate, pena l’inammissibilità delle stesse, entro 30 giorni dalla data di accadimento dell’evento, salvo casi di forza maggiore.</w:t>
      </w:r>
    </w:p>
    <w:p w14:paraId="2CE7BA22" w14:textId="77777777" w:rsidR="005E2710" w:rsidRDefault="00AF2678">
      <w:pPr>
        <w:rPr>
          <w:color w:val="2F5496"/>
          <w:u w:color="2F5496"/>
        </w:rPr>
      </w:pPr>
      <w:r>
        <w:rPr>
          <w:color w:val="2F5496"/>
          <w:u w:color="2F5496"/>
        </w:rPr>
        <w:tab/>
      </w:r>
    </w:p>
    <w:p w14:paraId="50DC767A" w14:textId="77777777" w:rsidR="00E16269" w:rsidRDefault="00AF2678">
      <w:pPr>
        <w:rPr>
          <w:color w:val="2F5496"/>
          <w:u w:color="2F5496"/>
        </w:rPr>
      </w:pPr>
      <w:r>
        <w:rPr>
          <w:color w:val="2F5496"/>
          <w:u w:color="2F5496"/>
        </w:rPr>
        <w:tab/>
      </w:r>
      <w:r>
        <w:rPr>
          <w:color w:val="2F5496"/>
          <w:u w:color="2F5496"/>
        </w:rPr>
        <w:tab/>
      </w:r>
      <w:r>
        <w:rPr>
          <w:color w:val="2F5496"/>
          <w:u w:color="2F5496"/>
        </w:rPr>
        <w:tab/>
      </w:r>
      <w:r>
        <w:rPr>
          <w:color w:val="2F5496"/>
          <w:u w:color="2F5496"/>
        </w:rPr>
        <w:tab/>
      </w:r>
    </w:p>
    <w:p w14:paraId="34BA1524" w14:textId="77777777" w:rsidR="00E16269" w:rsidRDefault="00056C0B">
      <w:pPr>
        <w:rPr>
          <w:color w:val="2F5496"/>
          <w:u w:color="2F5496"/>
        </w:rPr>
      </w:pPr>
      <w:r>
        <w:rPr>
          <w:noProof/>
        </w:rPr>
        <w:lastRenderedPageBreak/>
        <w:drawing>
          <wp:anchor distT="0" distB="0" distL="114300" distR="114300" simplePos="0" relativeHeight="251676672" behindDoc="1" locked="0" layoutInCell="1" allowOverlap="1" wp14:anchorId="2F135B29" wp14:editId="149D0592">
            <wp:simplePos x="0" y="0"/>
            <wp:positionH relativeFrom="column">
              <wp:posOffset>106680</wp:posOffset>
            </wp:positionH>
            <wp:positionV relativeFrom="paragraph">
              <wp:posOffset>170180</wp:posOffset>
            </wp:positionV>
            <wp:extent cx="1645920" cy="1184275"/>
            <wp:effectExtent l="0" t="0" r="0" b="0"/>
            <wp:wrapTight wrapText="bothSides">
              <wp:wrapPolygon edited="0">
                <wp:start x="0" y="0"/>
                <wp:lineTo x="0" y="21195"/>
                <wp:lineTo x="21250" y="21195"/>
                <wp:lineTo x="2125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r w:rsidR="00AF2678">
        <w:rPr>
          <w:color w:val="2F5496"/>
          <w:u w:color="2F5496"/>
        </w:rPr>
        <w:tab/>
      </w:r>
    </w:p>
    <w:p w14:paraId="61C9D25A" w14:textId="77777777" w:rsidR="00056C0B" w:rsidRDefault="00056C0B">
      <w:pPr>
        <w:rPr>
          <w:color w:val="2F5496"/>
          <w:sz w:val="36"/>
          <w:szCs w:val="36"/>
          <w:u w:color="2F5496"/>
        </w:rPr>
      </w:pPr>
    </w:p>
    <w:p w14:paraId="1697C374" w14:textId="77777777" w:rsidR="00E16269" w:rsidRDefault="00AF2678">
      <w:pPr>
        <w:rPr>
          <w:color w:val="2F5496"/>
          <w:sz w:val="36"/>
          <w:szCs w:val="36"/>
          <w:u w:color="2F5496"/>
        </w:rPr>
      </w:pPr>
      <w:r>
        <w:rPr>
          <w:color w:val="2F5496"/>
          <w:sz w:val="36"/>
          <w:szCs w:val="36"/>
          <w:u w:color="2F5496"/>
        </w:rPr>
        <w:t>Contributi pubblici in arrivo</w:t>
      </w:r>
    </w:p>
    <w:p w14:paraId="5731FD2D" w14:textId="77777777" w:rsidR="006E1B33" w:rsidRDefault="007169ED">
      <w:pPr>
        <w:rPr>
          <w:color w:val="2F5496"/>
          <w:sz w:val="36"/>
          <w:szCs w:val="36"/>
          <w:u w:color="2F5496"/>
        </w:rPr>
      </w:pPr>
      <w:r>
        <w:rPr>
          <w:color w:val="2F5496"/>
          <w:sz w:val="36"/>
          <w:szCs w:val="36"/>
          <w:u w:color="2F5496"/>
        </w:rPr>
        <w:t xml:space="preserve">AGEA </w:t>
      </w:r>
      <w:r w:rsidR="00FD4F10">
        <w:rPr>
          <w:color w:val="2F5496"/>
          <w:sz w:val="36"/>
          <w:szCs w:val="36"/>
          <w:u w:color="2F5496"/>
        </w:rPr>
        <w:t>effettua il terzo pagamento di contributi sulle produzioni vegetali</w:t>
      </w:r>
      <w:r>
        <w:rPr>
          <w:color w:val="2F5496"/>
          <w:sz w:val="36"/>
          <w:szCs w:val="36"/>
          <w:u w:color="2F5496"/>
        </w:rPr>
        <w:t xml:space="preserve"> </w:t>
      </w:r>
      <w:r w:rsidR="006E1B33">
        <w:rPr>
          <w:color w:val="2F5496"/>
          <w:sz w:val="36"/>
          <w:szCs w:val="36"/>
          <w:u w:color="2F5496"/>
        </w:rPr>
        <w:t>2023</w:t>
      </w:r>
    </w:p>
    <w:p w14:paraId="33CA7E7E" w14:textId="77777777" w:rsidR="00E16269" w:rsidRDefault="00AF2678">
      <w:r>
        <w:tab/>
      </w:r>
      <w:r>
        <w:tab/>
      </w:r>
      <w:r>
        <w:tab/>
      </w:r>
      <w:r>
        <w:tab/>
      </w:r>
      <w:r>
        <w:tab/>
      </w:r>
      <w:r>
        <w:tab/>
      </w:r>
      <w:r>
        <w:tab/>
      </w:r>
    </w:p>
    <w:p w14:paraId="7A6364C3" w14:textId="77777777" w:rsidR="00056C0B" w:rsidRDefault="00056C0B" w:rsidP="008A3293">
      <w:pPr>
        <w:jc w:val="both"/>
        <w:rPr>
          <w:rFonts w:eastAsia="Times New Roman"/>
          <w:color w:val="2F5496"/>
        </w:rPr>
      </w:pPr>
    </w:p>
    <w:p w14:paraId="521D877F" w14:textId="77777777" w:rsidR="00056C0B" w:rsidRDefault="00056C0B" w:rsidP="008A3293">
      <w:pPr>
        <w:jc w:val="both"/>
        <w:rPr>
          <w:rFonts w:eastAsia="Times New Roman"/>
          <w:color w:val="2F5496"/>
        </w:rPr>
      </w:pPr>
    </w:p>
    <w:p w14:paraId="51E3FA50" w14:textId="77777777" w:rsidR="00056C0B" w:rsidRDefault="00056C0B" w:rsidP="008A3293">
      <w:pPr>
        <w:jc w:val="both"/>
        <w:rPr>
          <w:rFonts w:eastAsia="Times New Roman"/>
          <w:color w:val="2F5496"/>
        </w:rPr>
      </w:pPr>
    </w:p>
    <w:p w14:paraId="3206AD79" w14:textId="77777777" w:rsidR="00FD4F10" w:rsidRDefault="00FD4F10" w:rsidP="008A3293">
      <w:pPr>
        <w:jc w:val="both"/>
        <w:rPr>
          <w:rFonts w:eastAsia="Times New Roman"/>
          <w:color w:val="2F5496"/>
        </w:rPr>
      </w:pPr>
      <w:r>
        <w:rPr>
          <w:rFonts w:eastAsia="Times New Roman"/>
          <w:color w:val="2F5496"/>
        </w:rPr>
        <w:t>Apprendiamo da una comunicazione di AGEA del 30 maggio 2024 che è stato emesso il Decreto di autorizzazione al pagamento n. 4089. Si tratta del terzo provvedimento relativo ai contributi sulle polizze agevolate coltro le avversità atmosferiche delle produzioni vegetali 2023.</w:t>
      </w:r>
    </w:p>
    <w:p w14:paraId="4539CFB3" w14:textId="77777777" w:rsidR="00DF1C62" w:rsidRDefault="008A0244" w:rsidP="008A3293">
      <w:pPr>
        <w:jc w:val="both"/>
        <w:rPr>
          <w:rFonts w:eastAsia="Times New Roman"/>
          <w:color w:val="2F5496"/>
        </w:rPr>
      </w:pPr>
      <w:r>
        <w:rPr>
          <w:rFonts w:eastAsia="Times New Roman"/>
          <w:color w:val="2F5496"/>
        </w:rPr>
        <w:t xml:space="preserve">Lo scorso 9 maggio </w:t>
      </w:r>
      <w:r w:rsidR="00225F00">
        <w:rPr>
          <w:rFonts w:eastAsia="Times New Roman"/>
          <w:color w:val="2F5496"/>
        </w:rPr>
        <w:t xml:space="preserve">AGEA </w:t>
      </w:r>
      <w:r w:rsidR="00FD4F10">
        <w:rPr>
          <w:rFonts w:eastAsia="Times New Roman"/>
          <w:color w:val="2F5496"/>
        </w:rPr>
        <w:t>aveva</w:t>
      </w:r>
      <w:r w:rsidR="00225F00">
        <w:rPr>
          <w:rFonts w:eastAsia="Times New Roman"/>
          <w:color w:val="2F5496"/>
        </w:rPr>
        <w:t xml:space="preserve"> emesso un </w:t>
      </w:r>
      <w:r w:rsidR="008113F7">
        <w:rPr>
          <w:rFonts w:eastAsia="Times New Roman"/>
          <w:color w:val="2F5496"/>
        </w:rPr>
        <w:t xml:space="preserve">secondo </w:t>
      </w:r>
      <w:r w:rsidR="00225F00">
        <w:rPr>
          <w:rFonts w:eastAsia="Times New Roman"/>
          <w:color w:val="2F5496"/>
        </w:rPr>
        <w:t>decreto di</w:t>
      </w:r>
      <w:r>
        <w:rPr>
          <w:rFonts w:eastAsia="Times New Roman"/>
          <w:color w:val="2F5496"/>
        </w:rPr>
        <w:t xml:space="preserve"> concessione</w:t>
      </w:r>
      <w:r w:rsidR="00225F00">
        <w:rPr>
          <w:rFonts w:eastAsia="Times New Roman"/>
          <w:color w:val="2F5496"/>
        </w:rPr>
        <w:t xml:space="preserve"> </w:t>
      </w:r>
      <w:r w:rsidR="00DF1C62">
        <w:rPr>
          <w:rFonts w:eastAsia="Times New Roman"/>
          <w:color w:val="2F5496"/>
        </w:rPr>
        <w:t xml:space="preserve">per complessivi € </w:t>
      </w:r>
      <w:r>
        <w:rPr>
          <w:rFonts w:eastAsia="Times New Roman"/>
          <w:color w:val="2F5496"/>
        </w:rPr>
        <w:t>1.787.159,14</w:t>
      </w:r>
      <w:r w:rsidR="00DF1C62">
        <w:rPr>
          <w:rFonts w:eastAsia="Times New Roman"/>
          <w:color w:val="2F5496"/>
        </w:rPr>
        <w:t xml:space="preserve"> in favor</w:t>
      </w:r>
      <w:r w:rsidR="009D0BD9">
        <w:rPr>
          <w:rFonts w:eastAsia="Times New Roman"/>
          <w:color w:val="2F5496"/>
        </w:rPr>
        <w:t xml:space="preserve">e degli agricoltori soci dei Consorzi di </w:t>
      </w:r>
      <w:proofErr w:type="spellStart"/>
      <w:r w:rsidR="009D0BD9">
        <w:rPr>
          <w:rFonts w:eastAsia="Times New Roman"/>
          <w:color w:val="2F5496"/>
        </w:rPr>
        <w:t>Coordifesa</w:t>
      </w:r>
      <w:proofErr w:type="spellEnd"/>
      <w:r w:rsidR="009D0BD9">
        <w:rPr>
          <w:rFonts w:eastAsia="Times New Roman"/>
          <w:color w:val="2F5496"/>
        </w:rPr>
        <w:t xml:space="preserve"> Piemonte</w:t>
      </w:r>
      <w:r w:rsidR="00FD4F10">
        <w:rPr>
          <w:rFonts w:eastAsia="Times New Roman"/>
          <w:color w:val="2F5496"/>
        </w:rPr>
        <w:t xml:space="preserve"> che ora si è concretizzato con il pagamento agli agricoltori di € 1.647.759,41</w:t>
      </w:r>
      <w:r w:rsidR="00DF1C62">
        <w:rPr>
          <w:rFonts w:eastAsia="Times New Roman"/>
          <w:color w:val="2F5496"/>
        </w:rPr>
        <w:t>.</w:t>
      </w:r>
    </w:p>
    <w:p w14:paraId="55E1F093" w14:textId="77777777" w:rsidR="001705C6" w:rsidRDefault="00FD4F10" w:rsidP="008A3293">
      <w:pPr>
        <w:jc w:val="both"/>
        <w:rPr>
          <w:rFonts w:eastAsia="Times New Roman"/>
          <w:color w:val="2F5496"/>
        </w:rPr>
      </w:pPr>
      <w:r>
        <w:rPr>
          <w:rFonts w:eastAsia="Times New Roman"/>
          <w:color w:val="2F5496"/>
        </w:rPr>
        <w:t>Ricordiamo che al provvedimento di concessione</w:t>
      </w:r>
      <w:r w:rsidR="00BE4247">
        <w:rPr>
          <w:rFonts w:eastAsia="Times New Roman"/>
          <w:color w:val="2F5496"/>
        </w:rPr>
        <w:t>,</w:t>
      </w:r>
      <w:r>
        <w:rPr>
          <w:rFonts w:eastAsia="Times New Roman"/>
          <w:color w:val="2F5496"/>
        </w:rPr>
        <w:t xml:space="preserve"> i Centri di Assistenza Agricola CAA devono far seguire la presentazione delle domande di pagamento per ogni polizza interessata </w:t>
      </w:r>
      <w:r w:rsidR="001705C6">
        <w:rPr>
          <w:rFonts w:eastAsia="Times New Roman"/>
          <w:color w:val="2F5496"/>
        </w:rPr>
        <w:t>e subito dopo AGEA può procedere ad emettere i bonifici bancari per tutte le domande di pagamento ricevute. In pratica AGEA ha evaso tutte le domande pervenute entro il 21 maggio. Le domande presentate dopo questa data saranno pagate nel prossimo provvedimento di AGEA.</w:t>
      </w:r>
    </w:p>
    <w:p w14:paraId="57D71C7B" w14:textId="77777777" w:rsidR="001705C6" w:rsidRDefault="001705C6" w:rsidP="008A3293">
      <w:pPr>
        <w:jc w:val="both"/>
        <w:rPr>
          <w:rFonts w:eastAsia="Times New Roman"/>
          <w:color w:val="2F5496"/>
        </w:rPr>
      </w:pPr>
      <w:r>
        <w:rPr>
          <w:rFonts w:eastAsia="Times New Roman"/>
          <w:color w:val="2F5496"/>
        </w:rPr>
        <w:t xml:space="preserve">Finora gli agricoltori associati ai 4 Consorzi Piemontesi di </w:t>
      </w:r>
      <w:proofErr w:type="spellStart"/>
      <w:r>
        <w:rPr>
          <w:rFonts w:eastAsia="Times New Roman"/>
          <w:color w:val="2F5496"/>
        </w:rPr>
        <w:t>Coordifesa</w:t>
      </w:r>
      <w:proofErr w:type="spellEnd"/>
      <w:r>
        <w:rPr>
          <w:rFonts w:eastAsia="Times New Roman"/>
          <w:color w:val="2F5496"/>
        </w:rPr>
        <w:t xml:space="preserve"> hanno ricevuto contributi 2023 per € 7.761.566,89 pari a circa l’81% delle somme attese.</w:t>
      </w:r>
    </w:p>
    <w:p w14:paraId="726C75CB" w14:textId="77777777" w:rsidR="003575F3" w:rsidRDefault="003575F3" w:rsidP="008A3293">
      <w:pPr>
        <w:jc w:val="both"/>
        <w:rPr>
          <w:rFonts w:eastAsia="Times New Roman"/>
          <w:color w:val="2F5496"/>
        </w:rPr>
      </w:pPr>
    </w:p>
    <w:tbl>
      <w:tblPr>
        <w:tblW w:w="10361" w:type="dxa"/>
        <w:tblCellMar>
          <w:left w:w="70" w:type="dxa"/>
          <w:right w:w="70" w:type="dxa"/>
        </w:tblCellMar>
        <w:tblLook w:val="04A0" w:firstRow="1" w:lastRow="0" w:firstColumn="1" w:lastColumn="0" w:noHBand="0" w:noVBand="1"/>
      </w:tblPr>
      <w:tblGrid>
        <w:gridCol w:w="1631"/>
        <w:gridCol w:w="1255"/>
        <w:gridCol w:w="1255"/>
        <w:gridCol w:w="1255"/>
        <w:gridCol w:w="1211"/>
        <w:gridCol w:w="1380"/>
        <w:gridCol w:w="1340"/>
        <w:gridCol w:w="1320"/>
      </w:tblGrid>
      <w:tr w:rsidR="00FD4F10" w:rsidRPr="00FD4F10" w14:paraId="7C80FEAB" w14:textId="77777777" w:rsidTr="00FD4F10">
        <w:trPr>
          <w:trHeight w:val="364"/>
        </w:trPr>
        <w:tc>
          <w:tcPr>
            <w:tcW w:w="6321" w:type="dxa"/>
            <w:gridSpan w:val="5"/>
            <w:tcBorders>
              <w:top w:val="nil"/>
              <w:left w:val="nil"/>
              <w:bottom w:val="nil"/>
              <w:right w:val="nil"/>
            </w:tcBorders>
            <w:shd w:val="clear" w:color="auto" w:fill="auto"/>
            <w:noWrap/>
            <w:vAlign w:val="bottom"/>
            <w:hideMark/>
          </w:tcPr>
          <w:p w14:paraId="45EFE827"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r w:rsidRPr="00FD4F10">
              <w:rPr>
                <w:rFonts w:eastAsia="Times New Roman" w:cs="Calibri"/>
                <w:b/>
                <w:bCs/>
                <w:sz w:val="28"/>
                <w:szCs w:val="28"/>
                <w:bdr w:val="none" w:sz="0" w:space="0" w:color="auto"/>
              </w:rPr>
              <w:t>PAGAMENTI AGEA PRODUZIONI VEGETALI 2023</w:t>
            </w:r>
          </w:p>
        </w:tc>
        <w:tc>
          <w:tcPr>
            <w:tcW w:w="1380" w:type="dxa"/>
            <w:tcBorders>
              <w:top w:val="nil"/>
              <w:left w:val="nil"/>
              <w:bottom w:val="nil"/>
              <w:right w:val="nil"/>
            </w:tcBorders>
            <w:shd w:val="clear" w:color="auto" w:fill="auto"/>
            <w:noWrap/>
            <w:vAlign w:val="bottom"/>
            <w:hideMark/>
          </w:tcPr>
          <w:p w14:paraId="1FAA004E"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sz w:val="28"/>
                <w:szCs w:val="28"/>
                <w:bdr w:val="none" w:sz="0" w:space="0" w:color="auto"/>
              </w:rPr>
            </w:pPr>
          </w:p>
        </w:tc>
        <w:tc>
          <w:tcPr>
            <w:tcW w:w="1340" w:type="dxa"/>
            <w:tcBorders>
              <w:top w:val="nil"/>
              <w:left w:val="nil"/>
              <w:bottom w:val="nil"/>
              <w:right w:val="nil"/>
            </w:tcBorders>
            <w:shd w:val="clear" w:color="auto" w:fill="auto"/>
            <w:noWrap/>
            <w:vAlign w:val="bottom"/>
            <w:hideMark/>
          </w:tcPr>
          <w:p w14:paraId="57DA658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c>
          <w:tcPr>
            <w:tcW w:w="1320" w:type="dxa"/>
            <w:tcBorders>
              <w:top w:val="nil"/>
              <w:left w:val="nil"/>
              <w:bottom w:val="nil"/>
              <w:right w:val="nil"/>
            </w:tcBorders>
            <w:shd w:val="clear" w:color="auto" w:fill="auto"/>
            <w:noWrap/>
            <w:vAlign w:val="bottom"/>
            <w:hideMark/>
          </w:tcPr>
          <w:p w14:paraId="70761142"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FD4F10" w:rsidRPr="00FD4F10" w14:paraId="25E32BCA" w14:textId="77777777" w:rsidTr="00FD4F10">
        <w:trPr>
          <w:trHeight w:val="1052"/>
        </w:trPr>
        <w:tc>
          <w:tcPr>
            <w:tcW w:w="1631" w:type="dxa"/>
            <w:tcBorders>
              <w:top w:val="single" w:sz="4" w:space="0" w:color="auto"/>
              <w:left w:val="single" w:sz="4" w:space="0" w:color="auto"/>
              <w:bottom w:val="single" w:sz="4" w:space="0" w:color="auto"/>
              <w:right w:val="nil"/>
            </w:tcBorders>
            <w:shd w:val="clear" w:color="auto" w:fill="auto"/>
            <w:vAlign w:val="center"/>
            <w:hideMark/>
          </w:tcPr>
          <w:p w14:paraId="7BB6E353"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CONSORZIO</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23BD513"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DECRETO PAGAMENTO 10/03/2024</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C69FF5D"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DECRETO PAGAMENTO 22/04/2024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97654DF"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DECRETO PAGAMENTO 30/05/2024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A2D0CB"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TOTALE PAGAMENTI</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030D72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CONTRIBUTO AGEA ATTESO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CBB0A73"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 xml:space="preserve">% CONTRIBUTI EROGATI </w:t>
            </w:r>
            <w:proofErr w:type="gramStart"/>
            <w:r w:rsidRPr="00FD4F10">
              <w:rPr>
                <w:rFonts w:eastAsia="Times New Roman" w:cs="Calibri"/>
                <w:b/>
                <w:bCs/>
                <w:color w:val="auto"/>
                <w:sz w:val="20"/>
                <w:szCs w:val="20"/>
                <w:bdr w:val="none" w:sz="0" w:space="0" w:color="auto"/>
              </w:rPr>
              <w:t>SU  CONTRIBUTO</w:t>
            </w:r>
            <w:proofErr w:type="gramEnd"/>
            <w:r w:rsidRPr="00FD4F10">
              <w:rPr>
                <w:rFonts w:eastAsia="Times New Roman" w:cs="Calibri"/>
                <w:b/>
                <w:bCs/>
                <w:color w:val="auto"/>
                <w:sz w:val="20"/>
                <w:szCs w:val="20"/>
                <w:bdr w:val="none" w:sz="0" w:space="0" w:color="auto"/>
              </w:rPr>
              <w:t xml:space="preserve">  AGEA ATTESO</w:t>
            </w:r>
          </w:p>
        </w:tc>
        <w:tc>
          <w:tcPr>
            <w:tcW w:w="1320" w:type="dxa"/>
            <w:vAlign w:val="center"/>
            <w:hideMark/>
          </w:tcPr>
          <w:p w14:paraId="6E8CAD5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FD4F10" w:rsidRPr="00FD4F10" w14:paraId="69998755" w14:textId="77777777" w:rsidTr="00FD4F10">
        <w:trPr>
          <w:trHeight w:val="301"/>
        </w:trPr>
        <w:tc>
          <w:tcPr>
            <w:tcW w:w="1631" w:type="dxa"/>
            <w:tcBorders>
              <w:top w:val="nil"/>
              <w:left w:val="single" w:sz="4" w:space="0" w:color="auto"/>
              <w:bottom w:val="single" w:sz="4" w:space="0" w:color="auto"/>
              <w:right w:val="nil"/>
            </w:tcBorders>
            <w:shd w:val="clear" w:color="auto" w:fill="auto"/>
            <w:noWrap/>
            <w:vAlign w:val="bottom"/>
            <w:hideMark/>
          </w:tcPr>
          <w:p w14:paraId="1713B2FC"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 xml:space="preserve">Alessandria </w:t>
            </w:r>
          </w:p>
        </w:tc>
        <w:tc>
          <w:tcPr>
            <w:tcW w:w="1190" w:type="dxa"/>
            <w:tcBorders>
              <w:top w:val="nil"/>
              <w:left w:val="nil"/>
              <w:bottom w:val="single" w:sz="4" w:space="0" w:color="auto"/>
              <w:right w:val="single" w:sz="4" w:space="0" w:color="auto"/>
            </w:tcBorders>
            <w:shd w:val="clear" w:color="auto" w:fill="auto"/>
            <w:noWrap/>
            <w:vAlign w:val="bottom"/>
            <w:hideMark/>
          </w:tcPr>
          <w:p w14:paraId="69C635C7"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865.393,74</w:t>
            </w:r>
          </w:p>
        </w:tc>
        <w:tc>
          <w:tcPr>
            <w:tcW w:w="1185" w:type="dxa"/>
            <w:tcBorders>
              <w:top w:val="nil"/>
              <w:left w:val="nil"/>
              <w:bottom w:val="single" w:sz="4" w:space="0" w:color="auto"/>
              <w:right w:val="single" w:sz="4" w:space="0" w:color="auto"/>
            </w:tcBorders>
            <w:shd w:val="clear" w:color="auto" w:fill="auto"/>
            <w:noWrap/>
            <w:vAlign w:val="bottom"/>
            <w:hideMark/>
          </w:tcPr>
          <w:p w14:paraId="7409F107"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56.149,05</w:t>
            </w:r>
          </w:p>
        </w:tc>
        <w:tc>
          <w:tcPr>
            <w:tcW w:w="1181" w:type="dxa"/>
            <w:tcBorders>
              <w:top w:val="nil"/>
              <w:left w:val="nil"/>
              <w:bottom w:val="single" w:sz="4" w:space="0" w:color="auto"/>
              <w:right w:val="single" w:sz="4" w:space="0" w:color="auto"/>
            </w:tcBorders>
            <w:shd w:val="clear" w:color="auto" w:fill="auto"/>
            <w:noWrap/>
            <w:vAlign w:val="bottom"/>
            <w:hideMark/>
          </w:tcPr>
          <w:p w14:paraId="3C707C4D"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529.514,45</w:t>
            </w:r>
          </w:p>
        </w:tc>
        <w:tc>
          <w:tcPr>
            <w:tcW w:w="1134" w:type="dxa"/>
            <w:tcBorders>
              <w:top w:val="nil"/>
              <w:left w:val="nil"/>
              <w:bottom w:val="single" w:sz="4" w:space="0" w:color="auto"/>
              <w:right w:val="single" w:sz="4" w:space="0" w:color="auto"/>
            </w:tcBorders>
            <w:shd w:val="clear" w:color="auto" w:fill="auto"/>
            <w:noWrap/>
            <w:vAlign w:val="bottom"/>
            <w:hideMark/>
          </w:tcPr>
          <w:p w14:paraId="425D590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1.451.057,24</w:t>
            </w:r>
          </w:p>
        </w:tc>
        <w:tc>
          <w:tcPr>
            <w:tcW w:w="1380" w:type="dxa"/>
            <w:tcBorders>
              <w:top w:val="nil"/>
              <w:left w:val="nil"/>
              <w:bottom w:val="single" w:sz="4" w:space="0" w:color="auto"/>
              <w:right w:val="single" w:sz="4" w:space="0" w:color="auto"/>
            </w:tcBorders>
            <w:shd w:val="clear" w:color="auto" w:fill="auto"/>
            <w:noWrap/>
            <w:vAlign w:val="bottom"/>
            <w:hideMark/>
          </w:tcPr>
          <w:p w14:paraId="122D778D"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1.716.983,86</w:t>
            </w:r>
          </w:p>
        </w:tc>
        <w:tc>
          <w:tcPr>
            <w:tcW w:w="1340" w:type="dxa"/>
            <w:tcBorders>
              <w:top w:val="nil"/>
              <w:left w:val="nil"/>
              <w:bottom w:val="single" w:sz="4" w:space="0" w:color="auto"/>
              <w:right w:val="single" w:sz="4" w:space="0" w:color="auto"/>
            </w:tcBorders>
            <w:shd w:val="clear" w:color="auto" w:fill="auto"/>
            <w:noWrap/>
            <w:vAlign w:val="bottom"/>
            <w:hideMark/>
          </w:tcPr>
          <w:p w14:paraId="7550286C"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FD4F10">
              <w:rPr>
                <w:rFonts w:eastAsia="Times New Roman" w:cs="Calibri"/>
                <w:bdr w:val="none" w:sz="0" w:space="0" w:color="auto"/>
              </w:rPr>
              <w:t>85%</w:t>
            </w:r>
          </w:p>
        </w:tc>
        <w:tc>
          <w:tcPr>
            <w:tcW w:w="1320" w:type="dxa"/>
            <w:vAlign w:val="center"/>
            <w:hideMark/>
          </w:tcPr>
          <w:p w14:paraId="1F2BAD06"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FD4F10" w:rsidRPr="00FD4F10" w14:paraId="4495EDD0" w14:textId="77777777" w:rsidTr="00FD4F10">
        <w:trPr>
          <w:trHeight w:val="301"/>
        </w:trPr>
        <w:tc>
          <w:tcPr>
            <w:tcW w:w="1631" w:type="dxa"/>
            <w:tcBorders>
              <w:top w:val="nil"/>
              <w:left w:val="single" w:sz="4" w:space="0" w:color="auto"/>
              <w:bottom w:val="single" w:sz="4" w:space="0" w:color="auto"/>
              <w:right w:val="nil"/>
            </w:tcBorders>
            <w:shd w:val="clear" w:color="auto" w:fill="auto"/>
            <w:noWrap/>
            <w:vAlign w:val="bottom"/>
            <w:hideMark/>
          </w:tcPr>
          <w:p w14:paraId="41E9C502"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 xml:space="preserve">Casale Monferrato </w:t>
            </w:r>
          </w:p>
        </w:tc>
        <w:tc>
          <w:tcPr>
            <w:tcW w:w="1190" w:type="dxa"/>
            <w:tcBorders>
              <w:top w:val="nil"/>
              <w:left w:val="nil"/>
              <w:bottom w:val="single" w:sz="4" w:space="0" w:color="auto"/>
              <w:right w:val="single" w:sz="4" w:space="0" w:color="auto"/>
            </w:tcBorders>
            <w:shd w:val="clear" w:color="auto" w:fill="auto"/>
            <w:noWrap/>
            <w:vAlign w:val="bottom"/>
            <w:hideMark/>
          </w:tcPr>
          <w:p w14:paraId="4037C49A"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333.399,12</w:t>
            </w:r>
          </w:p>
        </w:tc>
        <w:tc>
          <w:tcPr>
            <w:tcW w:w="1185" w:type="dxa"/>
            <w:tcBorders>
              <w:top w:val="nil"/>
              <w:left w:val="nil"/>
              <w:bottom w:val="single" w:sz="4" w:space="0" w:color="auto"/>
              <w:right w:val="single" w:sz="4" w:space="0" w:color="auto"/>
            </w:tcBorders>
            <w:shd w:val="clear" w:color="auto" w:fill="auto"/>
            <w:noWrap/>
            <w:vAlign w:val="bottom"/>
            <w:hideMark/>
          </w:tcPr>
          <w:p w14:paraId="367E30D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60,26</w:t>
            </w:r>
          </w:p>
        </w:tc>
        <w:tc>
          <w:tcPr>
            <w:tcW w:w="1181" w:type="dxa"/>
            <w:tcBorders>
              <w:top w:val="nil"/>
              <w:left w:val="nil"/>
              <w:bottom w:val="single" w:sz="4" w:space="0" w:color="auto"/>
              <w:right w:val="single" w:sz="4" w:space="0" w:color="auto"/>
            </w:tcBorders>
            <w:shd w:val="clear" w:color="auto" w:fill="auto"/>
            <w:noWrap/>
            <w:vAlign w:val="bottom"/>
            <w:hideMark/>
          </w:tcPr>
          <w:p w14:paraId="2224B3B3"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211.102,49</w:t>
            </w:r>
          </w:p>
        </w:tc>
        <w:tc>
          <w:tcPr>
            <w:tcW w:w="1134" w:type="dxa"/>
            <w:tcBorders>
              <w:top w:val="nil"/>
              <w:left w:val="nil"/>
              <w:bottom w:val="single" w:sz="4" w:space="0" w:color="auto"/>
              <w:right w:val="single" w:sz="4" w:space="0" w:color="auto"/>
            </w:tcBorders>
            <w:shd w:val="clear" w:color="auto" w:fill="auto"/>
            <w:noWrap/>
            <w:vAlign w:val="bottom"/>
            <w:hideMark/>
          </w:tcPr>
          <w:p w14:paraId="750E9CB6"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544.561,87</w:t>
            </w:r>
          </w:p>
        </w:tc>
        <w:tc>
          <w:tcPr>
            <w:tcW w:w="1380" w:type="dxa"/>
            <w:tcBorders>
              <w:top w:val="nil"/>
              <w:left w:val="nil"/>
              <w:bottom w:val="single" w:sz="4" w:space="0" w:color="auto"/>
              <w:right w:val="single" w:sz="4" w:space="0" w:color="auto"/>
            </w:tcBorders>
            <w:shd w:val="clear" w:color="auto" w:fill="auto"/>
            <w:noWrap/>
            <w:vAlign w:val="bottom"/>
            <w:hideMark/>
          </w:tcPr>
          <w:p w14:paraId="4C9EE548"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594.559,00</w:t>
            </w:r>
          </w:p>
        </w:tc>
        <w:tc>
          <w:tcPr>
            <w:tcW w:w="1340" w:type="dxa"/>
            <w:tcBorders>
              <w:top w:val="nil"/>
              <w:left w:val="nil"/>
              <w:bottom w:val="single" w:sz="4" w:space="0" w:color="auto"/>
              <w:right w:val="single" w:sz="4" w:space="0" w:color="auto"/>
            </w:tcBorders>
            <w:shd w:val="clear" w:color="auto" w:fill="auto"/>
            <w:noWrap/>
            <w:vAlign w:val="bottom"/>
            <w:hideMark/>
          </w:tcPr>
          <w:p w14:paraId="06CEDC0B"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FD4F10">
              <w:rPr>
                <w:rFonts w:eastAsia="Times New Roman" w:cs="Calibri"/>
                <w:bdr w:val="none" w:sz="0" w:space="0" w:color="auto"/>
              </w:rPr>
              <w:t>92%</w:t>
            </w:r>
          </w:p>
        </w:tc>
        <w:tc>
          <w:tcPr>
            <w:tcW w:w="1320" w:type="dxa"/>
            <w:vAlign w:val="center"/>
            <w:hideMark/>
          </w:tcPr>
          <w:p w14:paraId="48DC4027"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FD4F10" w:rsidRPr="00FD4F10" w14:paraId="3B20956F" w14:textId="77777777" w:rsidTr="00FD4F10">
        <w:trPr>
          <w:trHeight w:val="301"/>
        </w:trPr>
        <w:tc>
          <w:tcPr>
            <w:tcW w:w="1631" w:type="dxa"/>
            <w:tcBorders>
              <w:top w:val="nil"/>
              <w:left w:val="single" w:sz="4" w:space="0" w:color="auto"/>
              <w:bottom w:val="single" w:sz="4" w:space="0" w:color="auto"/>
              <w:right w:val="nil"/>
            </w:tcBorders>
            <w:shd w:val="clear" w:color="auto" w:fill="auto"/>
            <w:noWrap/>
            <w:vAlign w:val="bottom"/>
            <w:hideMark/>
          </w:tcPr>
          <w:p w14:paraId="46D10FA4"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 xml:space="preserve">Novara1 </w:t>
            </w:r>
          </w:p>
        </w:tc>
        <w:tc>
          <w:tcPr>
            <w:tcW w:w="1190" w:type="dxa"/>
            <w:tcBorders>
              <w:top w:val="nil"/>
              <w:left w:val="nil"/>
              <w:bottom w:val="single" w:sz="4" w:space="0" w:color="auto"/>
              <w:right w:val="single" w:sz="4" w:space="0" w:color="auto"/>
            </w:tcBorders>
            <w:shd w:val="clear" w:color="auto" w:fill="auto"/>
            <w:noWrap/>
            <w:vAlign w:val="bottom"/>
            <w:hideMark/>
          </w:tcPr>
          <w:p w14:paraId="5D51E091"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1.126.364,97</w:t>
            </w:r>
          </w:p>
        </w:tc>
        <w:tc>
          <w:tcPr>
            <w:tcW w:w="1185" w:type="dxa"/>
            <w:tcBorders>
              <w:top w:val="nil"/>
              <w:left w:val="nil"/>
              <w:bottom w:val="single" w:sz="4" w:space="0" w:color="auto"/>
              <w:right w:val="single" w:sz="4" w:space="0" w:color="auto"/>
            </w:tcBorders>
            <w:shd w:val="clear" w:color="auto" w:fill="auto"/>
            <w:noWrap/>
            <w:vAlign w:val="bottom"/>
            <w:hideMark/>
          </w:tcPr>
          <w:p w14:paraId="2920FA4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25.786,69</w:t>
            </w:r>
          </w:p>
        </w:tc>
        <w:tc>
          <w:tcPr>
            <w:tcW w:w="1181" w:type="dxa"/>
            <w:tcBorders>
              <w:top w:val="nil"/>
              <w:left w:val="nil"/>
              <w:bottom w:val="single" w:sz="4" w:space="0" w:color="auto"/>
              <w:right w:val="single" w:sz="4" w:space="0" w:color="auto"/>
            </w:tcBorders>
            <w:shd w:val="clear" w:color="auto" w:fill="auto"/>
            <w:noWrap/>
            <w:vAlign w:val="bottom"/>
            <w:hideMark/>
          </w:tcPr>
          <w:p w14:paraId="712E93AA"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325.238,96</w:t>
            </w:r>
          </w:p>
        </w:tc>
        <w:tc>
          <w:tcPr>
            <w:tcW w:w="1134" w:type="dxa"/>
            <w:tcBorders>
              <w:top w:val="nil"/>
              <w:left w:val="nil"/>
              <w:bottom w:val="single" w:sz="4" w:space="0" w:color="auto"/>
              <w:right w:val="single" w:sz="4" w:space="0" w:color="auto"/>
            </w:tcBorders>
            <w:shd w:val="clear" w:color="auto" w:fill="auto"/>
            <w:noWrap/>
            <w:vAlign w:val="bottom"/>
            <w:hideMark/>
          </w:tcPr>
          <w:p w14:paraId="22E3D619"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1.477.390,62</w:t>
            </w:r>
          </w:p>
        </w:tc>
        <w:tc>
          <w:tcPr>
            <w:tcW w:w="1380" w:type="dxa"/>
            <w:tcBorders>
              <w:top w:val="nil"/>
              <w:left w:val="nil"/>
              <w:bottom w:val="single" w:sz="4" w:space="0" w:color="auto"/>
              <w:right w:val="single" w:sz="4" w:space="0" w:color="auto"/>
            </w:tcBorders>
            <w:shd w:val="clear" w:color="auto" w:fill="auto"/>
            <w:noWrap/>
            <w:vAlign w:val="bottom"/>
            <w:hideMark/>
          </w:tcPr>
          <w:p w14:paraId="199941F2"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1.758.168,00</w:t>
            </w:r>
          </w:p>
        </w:tc>
        <w:tc>
          <w:tcPr>
            <w:tcW w:w="1340" w:type="dxa"/>
            <w:tcBorders>
              <w:top w:val="nil"/>
              <w:left w:val="nil"/>
              <w:bottom w:val="single" w:sz="4" w:space="0" w:color="auto"/>
              <w:right w:val="single" w:sz="4" w:space="0" w:color="auto"/>
            </w:tcBorders>
            <w:shd w:val="clear" w:color="auto" w:fill="auto"/>
            <w:noWrap/>
            <w:vAlign w:val="bottom"/>
            <w:hideMark/>
          </w:tcPr>
          <w:p w14:paraId="2783919F"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FD4F10">
              <w:rPr>
                <w:rFonts w:eastAsia="Times New Roman" w:cs="Calibri"/>
                <w:bdr w:val="none" w:sz="0" w:space="0" w:color="auto"/>
              </w:rPr>
              <w:t>84%</w:t>
            </w:r>
          </w:p>
        </w:tc>
        <w:tc>
          <w:tcPr>
            <w:tcW w:w="1320" w:type="dxa"/>
            <w:vAlign w:val="center"/>
            <w:hideMark/>
          </w:tcPr>
          <w:p w14:paraId="7D7636C8"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FD4F10" w:rsidRPr="00FD4F10" w14:paraId="0D301E73" w14:textId="77777777" w:rsidTr="00FD4F10">
        <w:trPr>
          <w:trHeight w:val="301"/>
        </w:trPr>
        <w:tc>
          <w:tcPr>
            <w:tcW w:w="1631" w:type="dxa"/>
            <w:tcBorders>
              <w:top w:val="nil"/>
              <w:left w:val="single" w:sz="4" w:space="0" w:color="auto"/>
              <w:bottom w:val="single" w:sz="4" w:space="0" w:color="auto"/>
              <w:right w:val="nil"/>
            </w:tcBorders>
            <w:shd w:val="clear" w:color="auto" w:fill="auto"/>
            <w:noWrap/>
            <w:vAlign w:val="bottom"/>
            <w:hideMark/>
          </w:tcPr>
          <w:p w14:paraId="6C11AA0C"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 xml:space="preserve">Vercelli2 </w:t>
            </w:r>
          </w:p>
        </w:tc>
        <w:tc>
          <w:tcPr>
            <w:tcW w:w="1190" w:type="dxa"/>
            <w:tcBorders>
              <w:top w:val="nil"/>
              <w:left w:val="nil"/>
              <w:bottom w:val="single" w:sz="4" w:space="0" w:color="auto"/>
              <w:right w:val="single" w:sz="4" w:space="0" w:color="auto"/>
            </w:tcBorders>
            <w:shd w:val="clear" w:color="auto" w:fill="auto"/>
            <w:noWrap/>
            <w:vAlign w:val="bottom"/>
            <w:hideMark/>
          </w:tcPr>
          <w:p w14:paraId="7CB58FAF"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3.385.398,10</w:t>
            </w:r>
          </w:p>
        </w:tc>
        <w:tc>
          <w:tcPr>
            <w:tcW w:w="1185" w:type="dxa"/>
            <w:tcBorders>
              <w:top w:val="nil"/>
              <w:left w:val="nil"/>
              <w:bottom w:val="single" w:sz="4" w:space="0" w:color="auto"/>
              <w:right w:val="single" w:sz="4" w:space="0" w:color="auto"/>
            </w:tcBorders>
            <w:shd w:val="clear" w:color="auto" w:fill="auto"/>
            <w:noWrap/>
            <w:vAlign w:val="bottom"/>
            <w:hideMark/>
          </w:tcPr>
          <w:p w14:paraId="5C561A31"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321.255,55</w:t>
            </w:r>
          </w:p>
        </w:tc>
        <w:tc>
          <w:tcPr>
            <w:tcW w:w="1181" w:type="dxa"/>
            <w:tcBorders>
              <w:top w:val="nil"/>
              <w:left w:val="nil"/>
              <w:bottom w:val="single" w:sz="4" w:space="0" w:color="auto"/>
              <w:right w:val="single" w:sz="4" w:space="0" w:color="auto"/>
            </w:tcBorders>
            <w:shd w:val="clear" w:color="auto" w:fill="auto"/>
            <w:noWrap/>
            <w:vAlign w:val="bottom"/>
            <w:hideMark/>
          </w:tcPr>
          <w:p w14:paraId="6E37C01C"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581.903,51</w:t>
            </w:r>
          </w:p>
        </w:tc>
        <w:tc>
          <w:tcPr>
            <w:tcW w:w="1134" w:type="dxa"/>
            <w:tcBorders>
              <w:top w:val="nil"/>
              <w:left w:val="nil"/>
              <w:bottom w:val="single" w:sz="4" w:space="0" w:color="auto"/>
              <w:right w:val="single" w:sz="4" w:space="0" w:color="auto"/>
            </w:tcBorders>
            <w:shd w:val="clear" w:color="auto" w:fill="auto"/>
            <w:noWrap/>
            <w:vAlign w:val="bottom"/>
            <w:hideMark/>
          </w:tcPr>
          <w:p w14:paraId="6BD1EB1B"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sz w:val="20"/>
                <w:szCs w:val="20"/>
                <w:bdr w:val="none" w:sz="0" w:space="0" w:color="auto"/>
              </w:rPr>
            </w:pPr>
            <w:r w:rsidRPr="00FD4F10">
              <w:rPr>
                <w:rFonts w:eastAsia="Times New Roman" w:cs="Calibri"/>
                <w:sz w:val="20"/>
                <w:szCs w:val="20"/>
                <w:bdr w:val="none" w:sz="0" w:space="0" w:color="auto"/>
              </w:rPr>
              <w:t>4.288.557,16</w:t>
            </w:r>
          </w:p>
        </w:tc>
        <w:tc>
          <w:tcPr>
            <w:tcW w:w="1380" w:type="dxa"/>
            <w:tcBorders>
              <w:top w:val="nil"/>
              <w:left w:val="nil"/>
              <w:bottom w:val="single" w:sz="4" w:space="0" w:color="auto"/>
              <w:right w:val="single" w:sz="4" w:space="0" w:color="auto"/>
            </w:tcBorders>
            <w:shd w:val="clear" w:color="auto" w:fill="auto"/>
            <w:noWrap/>
            <w:vAlign w:val="bottom"/>
            <w:hideMark/>
          </w:tcPr>
          <w:p w14:paraId="6F354B3D"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color w:val="auto"/>
                <w:sz w:val="20"/>
                <w:szCs w:val="20"/>
                <w:bdr w:val="none" w:sz="0" w:space="0" w:color="auto"/>
              </w:rPr>
            </w:pPr>
            <w:r w:rsidRPr="00FD4F10">
              <w:rPr>
                <w:rFonts w:eastAsia="Times New Roman" w:cs="Calibri"/>
                <w:color w:val="auto"/>
                <w:sz w:val="20"/>
                <w:szCs w:val="20"/>
                <w:bdr w:val="none" w:sz="0" w:space="0" w:color="auto"/>
              </w:rPr>
              <w:t>5.565.657,00</w:t>
            </w:r>
          </w:p>
        </w:tc>
        <w:tc>
          <w:tcPr>
            <w:tcW w:w="1340" w:type="dxa"/>
            <w:tcBorders>
              <w:top w:val="nil"/>
              <w:left w:val="nil"/>
              <w:bottom w:val="single" w:sz="4" w:space="0" w:color="auto"/>
              <w:right w:val="single" w:sz="4" w:space="0" w:color="auto"/>
            </w:tcBorders>
            <w:shd w:val="clear" w:color="auto" w:fill="auto"/>
            <w:noWrap/>
            <w:vAlign w:val="bottom"/>
            <w:hideMark/>
          </w:tcPr>
          <w:p w14:paraId="6A945AAB"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rPr>
            </w:pPr>
            <w:r w:rsidRPr="00FD4F10">
              <w:rPr>
                <w:rFonts w:eastAsia="Times New Roman" w:cs="Calibri"/>
                <w:bdr w:val="none" w:sz="0" w:space="0" w:color="auto"/>
              </w:rPr>
              <w:t>77%</w:t>
            </w:r>
          </w:p>
        </w:tc>
        <w:tc>
          <w:tcPr>
            <w:tcW w:w="1320" w:type="dxa"/>
            <w:vAlign w:val="center"/>
            <w:hideMark/>
          </w:tcPr>
          <w:p w14:paraId="58674788"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r w:rsidR="00FD4F10" w:rsidRPr="00FD4F10" w14:paraId="5B8EC6FE" w14:textId="77777777" w:rsidTr="00FD4F10">
        <w:trPr>
          <w:trHeight w:val="301"/>
        </w:trPr>
        <w:tc>
          <w:tcPr>
            <w:tcW w:w="1631" w:type="dxa"/>
            <w:tcBorders>
              <w:top w:val="nil"/>
              <w:left w:val="single" w:sz="4" w:space="0" w:color="auto"/>
              <w:bottom w:val="single" w:sz="4" w:space="0" w:color="auto"/>
              <w:right w:val="nil"/>
            </w:tcBorders>
            <w:shd w:val="clear" w:color="auto" w:fill="auto"/>
            <w:noWrap/>
            <w:vAlign w:val="bottom"/>
            <w:hideMark/>
          </w:tcPr>
          <w:p w14:paraId="0A0CE6CA"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Totale</w:t>
            </w:r>
          </w:p>
        </w:tc>
        <w:tc>
          <w:tcPr>
            <w:tcW w:w="1190" w:type="dxa"/>
            <w:tcBorders>
              <w:top w:val="nil"/>
              <w:left w:val="nil"/>
              <w:bottom w:val="single" w:sz="4" w:space="0" w:color="auto"/>
              <w:right w:val="single" w:sz="4" w:space="0" w:color="auto"/>
            </w:tcBorders>
            <w:shd w:val="clear" w:color="auto" w:fill="auto"/>
            <w:noWrap/>
            <w:vAlign w:val="bottom"/>
            <w:hideMark/>
          </w:tcPr>
          <w:p w14:paraId="2BFE9206"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5.710.555,93</w:t>
            </w:r>
          </w:p>
        </w:tc>
        <w:tc>
          <w:tcPr>
            <w:tcW w:w="1185" w:type="dxa"/>
            <w:tcBorders>
              <w:top w:val="nil"/>
              <w:left w:val="nil"/>
              <w:bottom w:val="single" w:sz="4" w:space="0" w:color="auto"/>
              <w:right w:val="single" w:sz="4" w:space="0" w:color="auto"/>
            </w:tcBorders>
            <w:shd w:val="clear" w:color="auto" w:fill="auto"/>
            <w:noWrap/>
            <w:vAlign w:val="bottom"/>
            <w:hideMark/>
          </w:tcPr>
          <w:p w14:paraId="6034C453"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403.251,55</w:t>
            </w:r>
          </w:p>
        </w:tc>
        <w:tc>
          <w:tcPr>
            <w:tcW w:w="1181" w:type="dxa"/>
            <w:tcBorders>
              <w:top w:val="nil"/>
              <w:left w:val="nil"/>
              <w:bottom w:val="single" w:sz="4" w:space="0" w:color="auto"/>
              <w:right w:val="single" w:sz="4" w:space="0" w:color="auto"/>
            </w:tcBorders>
            <w:shd w:val="clear" w:color="auto" w:fill="auto"/>
            <w:noWrap/>
            <w:vAlign w:val="bottom"/>
            <w:hideMark/>
          </w:tcPr>
          <w:p w14:paraId="635C7D51"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color w:val="auto"/>
                <w:sz w:val="20"/>
                <w:szCs w:val="20"/>
                <w:bdr w:val="none" w:sz="0" w:space="0" w:color="auto"/>
              </w:rPr>
            </w:pPr>
            <w:r w:rsidRPr="00FD4F10">
              <w:rPr>
                <w:rFonts w:eastAsia="Times New Roman" w:cs="Calibri"/>
                <w:b/>
                <w:bCs/>
                <w:color w:val="auto"/>
                <w:sz w:val="20"/>
                <w:szCs w:val="20"/>
                <w:bdr w:val="none" w:sz="0" w:space="0" w:color="auto"/>
              </w:rPr>
              <w:t>1.647.759,41</w:t>
            </w:r>
          </w:p>
        </w:tc>
        <w:tc>
          <w:tcPr>
            <w:tcW w:w="1134" w:type="dxa"/>
            <w:tcBorders>
              <w:top w:val="nil"/>
              <w:left w:val="nil"/>
              <w:bottom w:val="single" w:sz="4" w:space="0" w:color="auto"/>
              <w:right w:val="single" w:sz="4" w:space="0" w:color="auto"/>
            </w:tcBorders>
            <w:shd w:val="clear" w:color="auto" w:fill="auto"/>
            <w:noWrap/>
            <w:vAlign w:val="bottom"/>
            <w:hideMark/>
          </w:tcPr>
          <w:p w14:paraId="6E406C1B"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sz w:val="20"/>
                <w:szCs w:val="20"/>
                <w:bdr w:val="none" w:sz="0" w:space="0" w:color="auto"/>
              </w:rPr>
            </w:pPr>
            <w:r w:rsidRPr="00FD4F10">
              <w:rPr>
                <w:rFonts w:eastAsia="Times New Roman" w:cs="Calibri"/>
                <w:b/>
                <w:bCs/>
                <w:sz w:val="20"/>
                <w:szCs w:val="20"/>
                <w:bdr w:val="none" w:sz="0" w:space="0" w:color="auto"/>
              </w:rPr>
              <w:t>7.761.566,89</w:t>
            </w:r>
          </w:p>
        </w:tc>
        <w:tc>
          <w:tcPr>
            <w:tcW w:w="1380" w:type="dxa"/>
            <w:tcBorders>
              <w:top w:val="nil"/>
              <w:left w:val="nil"/>
              <w:bottom w:val="single" w:sz="4" w:space="0" w:color="auto"/>
              <w:right w:val="single" w:sz="4" w:space="0" w:color="auto"/>
            </w:tcBorders>
            <w:shd w:val="clear" w:color="auto" w:fill="auto"/>
            <w:noWrap/>
            <w:vAlign w:val="bottom"/>
            <w:hideMark/>
          </w:tcPr>
          <w:p w14:paraId="3880464A"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FD4F10">
              <w:rPr>
                <w:rFonts w:eastAsia="Times New Roman" w:cs="Calibri"/>
                <w:b/>
                <w:bCs/>
                <w:bdr w:val="none" w:sz="0" w:space="0" w:color="auto"/>
              </w:rPr>
              <w:t>9.635.367,86</w:t>
            </w:r>
          </w:p>
        </w:tc>
        <w:tc>
          <w:tcPr>
            <w:tcW w:w="1340" w:type="dxa"/>
            <w:tcBorders>
              <w:top w:val="nil"/>
              <w:left w:val="nil"/>
              <w:bottom w:val="single" w:sz="4" w:space="0" w:color="auto"/>
              <w:right w:val="single" w:sz="4" w:space="0" w:color="auto"/>
            </w:tcBorders>
            <w:shd w:val="clear" w:color="auto" w:fill="auto"/>
            <w:noWrap/>
            <w:vAlign w:val="bottom"/>
            <w:hideMark/>
          </w:tcPr>
          <w:p w14:paraId="2C154FBD"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
                <w:bCs/>
                <w:bdr w:val="none" w:sz="0" w:space="0" w:color="auto"/>
              </w:rPr>
            </w:pPr>
            <w:r w:rsidRPr="00FD4F10">
              <w:rPr>
                <w:rFonts w:eastAsia="Times New Roman" w:cs="Calibri"/>
                <w:b/>
                <w:bCs/>
                <w:bdr w:val="none" w:sz="0" w:space="0" w:color="auto"/>
              </w:rPr>
              <w:t>81%</w:t>
            </w:r>
          </w:p>
        </w:tc>
        <w:tc>
          <w:tcPr>
            <w:tcW w:w="1320" w:type="dxa"/>
            <w:vAlign w:val="center"/>
            <w:hideMark/>
          </w:tcPr>
          <w:p w14:paraId="48A0CABE" w14:textId="77777777" w:rsidR="00FD4F10" w:rsidRPr="00FD4F10" w:rsidRDefault="00FD4F10" w:rsidP="00FD4F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rPr>
            </w:pPr>
          </w:p>
        </w:tc>
      </w:tr>
    </w:tbl>
    <w:p w14:paraId="0F74F4AA" w14:textId="77777777" w:rsidR="00FD4F10" w:rsidRDefault="00FD4F10" w:rsidP="008A3293">
      <w:pPr>
        <w:jc w:val="both"/>
        <w:rPr>
          <w:rFonts w:eastAsia="Times New Roman"/>
          <w:color w:val="2F5496"/>
        </w:rPr>
      </w:pPr>
    </w:p>
    <w:bookmarkEnd w:id="0"/>
    <w:sectPr w:rsidR="00FD4F10" w:rsidSect="007C3BDD">
      <w:headerReference w:type="default" r:id="rId17"/>
      <w:footerReference w:type="default" r:id="rId18"/>
      <w:type w:val="continuous"/>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B8A9" w14:textId="77777777" w:rsidR="00CA016C" w:rsidRDefault="00AF2678">
      <w:r>
        <w:separator/>
      </w:r>
    </w:p>
  </w:endnote>
  <w:endnote w:type="continuationSeparator" w:id="0">
    <w:p w14:paraId="19D60711" w14:textId="77777777" w:rsidR="00CA016C" w:rsidRDefault="00AF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8953" w14:textId="77777777" w:rsidR="00E16269" w:rsidRDefault="00E1626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0B66" w14:textId="77777777" w:rsidR="00CA016C" w:rsidRDefault="00AF2678">
      <w:r>
        <w:separator/>
      </w:r>
    </w:p>
  </w:footnote>
  <w:footnote w:type="continuationSeparator" w:id="0">
    <w:p w14:paraId="0817760A" w14:textId="77777777" w:rsidR="00CA016C" w:rsidRDefault="00AF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3B6E" w14:textId="77777777" w:rsidR="00E16269" w:rsidRDefault="00E1626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3D5"/>
    <w:multiLevelType w:val="hybridMultilevel"/>
    <w:tmpl w:val="FD7AC01A"/>
    <w:lvl w:ilvl="0" w:tplc="947253FA">
      <w:start w:val="1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DD0D22"/>
    <w:multiLevelType w:val="hybridMultilevel"/>
    <w:tmpl w:val="15FEFD72"/>
    <w:numStyleLink w:val="Stileimportato1"/>
  </w:abstractNum>
  <w:abstractNum w:abstractNumId="2" w15:restartNumberingAfterBreak="0">
    <w:nsid w:val="2D705840"/>
    <w:multiLevelType w:val="hybridMultilevel"/>
    <w:tmpl w:val="F478218A"/>
    <w:lvl w:ilvl="0" w:tplc="22406D1A">
      <w:start w:val="1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8D3C5A"/>
    <w:multiLevelType w:val="hybridMultilevel"/>
    <w:tmpl w:val="15FEFD72"/>
    <w:styleLink w:val="Stileimportato1"/>
    <w:lvl w:ilvl="0" w:tplc="B630E61E">
      <w:start w:val="1"/>
      <w:numFmt w:val="bullet"/>
      <w:lvlText w:val="-"/>
      <w:lvlJc w:val="left"/>
      <w:pPr>
        <w:ind w:left="4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5BA38B4">
      <w:start w:val="1"/>
      <w:numFmt w:val="bullet"/>
      <w:lvlText w:val="o"/>
      <w:lvlJc w:val="left"/>
      <w:pPr>
        <w:ind w:left="11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43EFE08">
      <w:start w:val="1"/>
      <w:numFmt w:val="bullet"/>
      <w:lvlText w:val="▪"/>
      <w:lvlJc w:val="left"/>
      <w:pPr>
        <w:ind w:left="1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5067BAA">
      <w:start w:val="1"/>
      <w:numFmt w:val="bullet"/>
      <w:lvlText w:val="•"/>
      <w:lvlJc w:val="left"/>
      <w:pPr>
        <w:ind w:left="25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1C2FD4E">
      <w:start w:val="1"/>
      <w:numFmt w:val="bullet"/>
      <w:lvlText w:val="o"/>
      <w:lvlJc w:val="left"/>
      <w:pPr>
        <w:ind w:left="329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864D43A">
      <w:start w:val="1"/>
      <w:numFmt w:val="bullet"/>
      <w:lvlText w:val="▪"/>
      <w:lvlJc w:val="left"/>
      <w:pPr>
        <w:ind w:left="40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F68D3BE">
      <w:start w:val="1"/>
      <w:numFmt w:val="bullet"/>
      <w:lvlText w:val="•"/>
      <w:lvlJc w:val="left"/>
      <w:pPr>
        <w:ind w:left="47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A8AB6E4">
      <w:start w:val="1"/>
      <w:numFmt w:val="bullet"/>
      <w:lvlText w:val="o"/>
      <w:lvlJc w:val="left"/>
      <w:pPr>
        <w:ind w:left="54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7E037A">
      <w:start w:val="1"/>
      <w:numFmt w:val="bullet"/>
      <w:lvlText w:val="▪"/>
      <w:lvlJc w:val="left"/>
      <w:pPr>
        <w:ind w:left="61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B12FEB"/>
    <w:multiLevelType w:val="hybridMultilevel"/>
    <w:tmpl w:val="88D6F522"/>
    <w:lvl w:ilvl="0" w:tplc="C994CFE8">
      <w:start w:val="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0421332">
    <w:abstractNumId w:val="3"/>
  </w:num>
  <w:num w:numId="2" w16cid:durableId="1113475522">
    <w:abstractNumId w:val="1"/>
  </w:num>
  <w:num w:numId="3" w16cid:durableId="1375888169">
    <w:abstractNumId w:val="4"/>
  </w:num>
  <w:num w:numId="4" w16cid:durableId="406926812">
    <w:abstractNumId w:val="0"/>
  </w:num>
  <w:num w:numId="5" w16cid:durableId="124788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69"/>
    <w:rsid w:val="00001AB4"/>
    <w:rsid w:val="00002A4F"/>
    <w:rsid w:val="000072A8"/>
    <w:rsid w:val="00011488"/>
    <w:rsid w:val="0002327C"/>
    <w:rsid w:val="00024782"/>
    <w:rsid w:val="00024DDC"/>
    <w:rsid w:val="000333AF"/>
    <w:rsid w:val="00043353"/>
    <w:rsid w:val="00043B71"/>
    <w:rsid w:val="00056C0B"/>
    <w:rsid w:val="00057497"/>
    <w:rsid w:val="000646B5"/>
    <w:rsid w:val="00090869"/>
    <w:rsid w:val="0009693A"/>
    <w:rsid w:val="000A09D2"/>
    <w:rsid w:val="000A3731"/>
    <w:rsid w:val="000A5A3D"/>
    <w:rsid w:val="000A7A93"/>
    <w:rsid w:val="000B504E"/>
    <w:rsid w:val="000C15BC"/>
    <w:rsid w:val="000C2A19"/>
    <w:rsid w:val="000C3723"/>
    <w:rsid w:val="000E0A59"/>
    <w:rsid w:val="000E0B35"/>
    <w:rsid w:val="000E7D5E"/>
    <w:rsid w:val="00100B5A"/>
    <w:rsid w:val="001046A4"/>
    <w:rsid w:val="00105981"/>
    <w:rsid w:val="00116C8D"/>
    <w:rsid w:val="001212A9"/>
    <w:rsid w:val="001259DA"/>
    <w:rsid w:val="0013567F"/>
    <w:rsid w:val="00146762"/>
    <w:rsid w:val="00154CB8"/>
    <w:rsid w:val="0016233C"/>
    <w:rsid w:val="00163E8F"/>
    <w:rsid w:val="001705C6"/>
    <w:rsid w:val="001724FD"/>
    <w:rsid w:val="0017370B"/>
    <w:rsid w:val="001851C2"/>
    <w:rsid w:val="001921BF"/>
    <w:rsid w:val="00194EF2"/>
    <w:rsid w:val="001E0D3D"/>
    <w:rsid w:val="001E3234"/>
    <w:rsid w:val="001E76D9"/>
    <w:rsid w:val="001F17FB"/>
    <w:rsid w:val="002010F7"/>
    <w:rsid w:val="00225F00"/>
    <w:rsid w:val="00230DD0"/>
    <w:rsid w:val="00236A02"/>
    <w:rsid w:val="00236AB4"/>
    <w:rsid w:val="00242687"/>
    <w:rsid w:val="002562E3"/>
    <w:rsid w:val="0025748A"/>
    <w:rsid w:val="002658E3"/>
    <w:rsid w:val="0028666B"/>
    <w:rsid w:val="002A0BBE"/>
    <w:rsid w:val="002A42CB"/>
    <w:rsid w:val="002A61F9"/>
    <w:rsid w:val="002B1C0E"/>
    <w:rsid w:val="002D2907"/>
    <w:rsid w:val="002E0CE6"/>
    <w:rsid w:val="002F121D"/>
    <w:rsid w:val="002F30AE"/>
    <w:rsid w:val="002F7215"/>
    <w:rsid w:val="00301A66"/>
    <w:rsid w:val="00305CF6"/>
    <w:rsid w:val="003512C5"/>
    <w:rsid w:val="003575F3"/>
    <w:rsid w:val="003611BD"/>
    <w:rsid w:val="00361271"/>
    <w:rsid w:val="003642D6"/>
    <w:rsid w:val="003928D8"/>
    <w:rsid w:val="003C0E3F"/>
    <w:rsid w:val="003D3260"/>
    <w:rsid w:val="003F09F8"/>
    <w:rsid w:val="003F55BD"/>
    <w:rsid w:val="004105D0"/>
    <w:rsid w:val="00412D4B"/>
    <w:rsid w:val="00487EE1"/>
    <w:rsid w:val="004900FB"/>
    <w:rsid w:val="004A1ACC"/>
    <w:rsid w:val="004A28CE"/>
    <w:rsid w:val="004B3C62"/>
    <w:rsid w:val="004C4483"/>
    <w:rsid w:val="004C7BD9"/>
    <w:rsid w:val="004E2A99"/>
    <w:rsid w:val="004E7726"/>
    <w:rsid w:val="004F21EA"/>
    <w:rsid w:val="00502EF0"/>
    <w:rsid w:val="0051495E"/>
    <w:rsid w:val="005151E4"/>
    <w:rsid w:val="0051668B"/>
    <w:rsid w:val="00522653"/>
    <w:rsid w:val="00525883"/>
    <w:rsid w:val="00541081"/>
    <w:rsid w:val="00541F35"/>
    <w:rsid w:val="00542C48"/>
    <w:rsid w:val="00547905"/>
    <w:rsid w:val="0055599A"/>
    <w:rsid w:val="005602EC"/>
    <w:rsid w:val="0056705A"/>
    <w:rsid w:val="00573886"/>
    <w:rsid w:val="00576D38"/>
    <w:rsid w:val="00585379"/>
    <w:rsid w:val="00587CDB"/>
    <w:rsid w:val="005A22E4"/>
    <w:rsid w:val="005A378F"/>
    <w:rsid w:val="005B06C6"/>
    <w:rsid w:val="005B0826"/>
    <w:rsid w:val="005B1E17"/>
    <w:rsid w:val="005B515A"/>
    <w:rsid w:val="005B5837"/>
    <w:rsid w:val="005C6C2B"/>
    <w:rsid w:val="005D1BD3"/>
    <w:rsid w:val="005D2F3A"/>
    <w:rsid w:val="005E2710"/>
    <w:rsid w:val="005F14FF"/>
    <w:rsid w:val="006054D4"/>
    <w:rsid w:val="00610433"/>
    <w:rsid w:val="00610583"/>
    <w:rsid w:val="00614295"/>
    <w:rsid w:val="00643204"/>
    <w:rsid w:val="00653983"/>
    <w:rsid w:val="0066445D"/>
    <w:rsid w:val="006718C9"/>
    <w:rsid w:val="00683E27"/>
    <w:rsid w:val="006A6C97"/>
    <w:rsid w:val="006C4800"/>
    <w:rsid w:val="006D30CB"/>
    <w:rsid w:val="006D3E53"/>
    <w:rsid w:val="006E182E"/>
    <w:rsid w:val="006E1B33"/>
    <w:rsid w:val="006E2204"/>
    <w:rsid w:val="006F3004"/>
    <w:rsid w:val="006F6702"/>
    <w:rsid w:val="00712FDB"/>
    <w:rsid w:val="007151DF"/>
    <w:rsid w:val="00715B36"/>
    <w:rsid w:val="007169ED"/>
    <w:rsid w:val="007244C9"/>
    <w:rsid w:val="00736438"/>
    <w:rsid w:val="00740550"/>
    <w:rsid w:val="00740666"/>
    <w:rsid w:val="00744B13"/>
    <w:rsid w:val="00776BC8"/>
    <w:rsid w:val="00780B8E"/>
    <w:rsid w:val="007871CA"/>
    <w:rsid w:val="007902CC"/>
    <w:rsid w:val="007959D4"/>
    <w:rsid w:val="007B4D50"/>
    <w:rsid w:val="007C1270"/>
    <w:rsid w:val="007C1929"/>
    <w:rsid w:val="007C3BDD"/>
    <w:rsid w:val="007C63EC"/>
    <w:rsid w:val="007E44E4"/>
    <w:rsid w:val="007F3660"/>
    <w:rsid w:val="007F3F06"/>
    <w:rsid w:val="00803D14"/>
    <w:rsid w:val="008113F7"/>
    <w:rsid w:val="00813AF8"/>
    <w:rsid w:val="00814603"/>
    <w:rsid w:val="008258CB"/>
    <w:rsid w:val="008266DD"/>
    <w:rsid w:val="00851B7A"/>
    <w:rsid w:val="00860FA7"/>
    <w:rsid w:val="00885B1D"/>
    <w:rsid w:val="00891E98"/>
    <w:rsid w:val="00895C57"/>
    <w:rsid w:val="00896643"/>
    <w:rsid w:val="00896C33"/>
    <w:rsid w:val="008A0244"/>
    <w:rsid w:val="008A15E6"/>
    <w:rsid w:val="008A3293"/>
    <w:rsid w:val="008C0D04"/>
    <w:rsid w:val="008C12CD"/>
    <w:rsid w:val="008F29CA"/>
    <w:rsid w:val="008F7B22"/>
    <w:rsid w:val="009014D7"/>
    <w:rsid w:val="009055D9"/>
    <w:rsid w:val="00911F00"/>
    <w:rsid w:val="009158A9"/>
    <w:rsid w:val="009222EF"/>
    <w:rsid w:val="00923B9B"/>
    <w:rsid w:val="009352D5"/>
    <w:rsid w:val="00941632"/>
    <w:rsid w:val="00946EEF"/>
    <w:rsid w:val="00955293"/>
    <w:rsid w:val="00957DC3"/>
    <w:rsid w:val="00964810"/>
    <w:rsid w:val="00974598"/>
    <w:rsid w:val="00975FD5"/>
    <w:rsid w:val="009762E6"/>
    <w:rsid w:val="00982BC2"/>
    <w:rsid w:val="00983616"/>
    <w:rsid w:val="00997A29"/>
    <w:rsid w:val="009A0B1F"/>
    <w:rsid w:val="009A5A41"/>
    <w:rsid w:val="009B62B4"/>
    <w:rsid w:val="009C136F"/>
    <w:rsid w:val="009C228F"/>
    <w:rsid w:val="009C5DBD"/>
    <w:rsid w:val="009D0BD9"/>
    <w:rsid w:val="009E0F55"/>
    <w:rsid w:val="009E4AD3"/>
    <w:rsid w:val="009F0526"/>
    <w:rsid w:val="00A074E2"/>
    <w:rsid w:val="00A10577"/>
    <w:rsid w:val="00A1651E"/>
    <w:rsid w:val="00A20087"/>
    <w:rsid w:val="00A25546"/>
    <w:rsid w:val="00A275C9"/>
    <w:rsid w:val="00A35E47"/>
    <w:rsid w:val="00A41E1D"/>
    <w:rsid w:val="00A47EBB"/>
    <w:rsid w:val="00A60998"/>
    <w:rsid w:val="00A62206"/>
    <w:rsid w:val="00A623FD"/>
    <w:rsid w:val="00A7432C"/>
    <w:rsid w:val="00A81D9E"/>
    <w:rsid w:val="00A845A5"/>
    <w:rsid w:val="00A91043"/>
    <w:rsid w:val="00AA7894"/>
    <w:rsid w:val="00AB454F"/>
    <w:rsid w:val="00AC5626"/>
    <w:rsid w:val="00AC6520"/>
    <w:rsid w:val="00AD52C2"/>
    <w:rsid w:val="00AD54A2"/>
    <w:rsid w:val="00AD6210"/>
    <w:rsid w:val="00AE5188"/>
    <w:rsid w:val="00AF146B"/>
    <w:rsid w:val="00AF2678"/>
    <w:rsid w:val="00AF6819"/>
    <w:rsid w:val="00B00BC5"/>
    <w:rsid w:val="00B020F1"/>
    <w:rsid w:val="00B0286D"/>
    <w:rsid w:val="00B22C8D"/>
    <w:rsid w:val="00B3113A"/>
    <w:rsid w:val="00B4209C"/>
    <w:rsid w:val="00B44FD8"/>
    <w:rsid w:val="00B5022B"/>
    <w:rsid w:val="00B51F48"/>
    <w:rsid w:val="00B54B9A"/>
    <w:rsid w:val="00B66B00"/>
    <w:rsid w:val="00B74F68"/>
    <w:rsid w:val="00B949D9"/>
    <w:rsid w:val="00B95042"/>
    <w:rsid w:val="00BA2EEB"/>
    <w:rsid w:val="00BA3269"/>
    <w:rsid w:val="00BA42BE"/>
    <w:rsid w:val="00BA49AA"/>
    <w:rsid w:val="00BA51E7"/>
    <w:rsid w:val="00BC32E0"/>
    <w:rsid w:val="00BC42CF"/>
    <w:rsid w:val="00BD15FB"/>
    <w:rsid w:val="00BE21AE"/>
    <w:rsid w:val="00BE4247"/>
    <w:rsid w:val="00C222CC"/>
    <w:rsid w:val="00C269CE"/>
    <w:rsid w:val="00C33A02"/>
    <w:rsid w:val="00C439B6"/>
    <w:rsid w:val="00C43D1A"/>
    <w:rsid w:val="00C64275"/>
    <w:rsid w:val="00C72143"/>
    <w:rsid w:val="00C80E9F"/>
    <w:rsid w:val="00C84F1A"/>
    <w:rsid w:val="00CA016C"/>
    <w:rsid w:val="00CA4EEE"/>
    <w:rsid w:val="00CC7152"/>
    <w:rsid w:val="00CD1987"/>
    <w:rsid w:val="00CD4F91"/>
    <w:rsid w:val="00CF11B8"/>
    <w:rsid w:val="00CF34CB"/>
    <w:rsid w:val="00CF3C9F"/>
    <w:rsid w:val="00D05C49"/>
    <w:rsid w:val="00D137A3"/>
    <w:rsid w:val="00D15905"/>
    <w:rsid w:val="00D55F84"/>
    <w:rsid w:val="00D61AB4"/>
    <w:rsid w:val="00D74669"/>
    <w:rsid w:val="00D758B1"/>
    <w:rsid w:val="00D83F3D"/>
    <w:rsid w:val="00DA3398"/>
    <w:rsid w:val="00DA347A"/>
    <w:rsid w:val="00DA51BB"/>
    <w:rsid w:val="00DA767E"/>
    <w:rsid w:val="00DB08A4"/>
    <w:rsid w:val="00DB371F"/>
    <w:rsid w:val="00DB3A15"/>
    <w:rsid w:val="00DD0A7C"/>
    <w:rsid w:val="00DD4851"/>
    <w:rsid w:val="00DE4D50"/>
    <w:rsid w:val="00DF0655"/>
    <w:rsid w:val="00DF07A6"/>
    <w:rsid w:val="00DF1C62"/>
    <w:rsid w:val="00E006AA"/>
    <w:rsid w:val="00E013D4"/>
    <w:rsid w:val="00E10EBD"/>
    <w:rsid w:val="00E10F9F"/>
    <w:rsid w:val="00E16269"/>
    <w:rsid w:val="00E3025D"/>
    <w:rsid w:val="00E34152"/>
    <w:rsid w:val="00E42320"/>
    <w:rsid w:val="00E54D79"/>
    <w:rsid w:val="00E563F6"/>
    <w:rsid w:val="00E6786B"/>
    <w:rsid w:val="00E92710"/>
    <w:rsid w:val="00EA404D"/>
    <w:rsid w:val="00EA54F2"/>
    <w:rsid w:val="00EB20A3"/>
    <w:rsid w:val="00EC442B"/>
    <w:rsid w:val="00EC7FAE"/>
    <w:rsid w:val="00ED08E4"/>
    <w:rsid w:val="00ED41E1"/>
    <w:rsid w:val="00EF0E30"/>
    <w:rsid w:val="00EF59E5"/>
    <w:rsid w:val="00F077B0"/>
    <w:rsid w:val="00F0792B"/>
    <w:rsid w:val="00F17C82"/>
    <w:rsid w:val="00F526FB"/>
    <w:rsid w:val="00F630AB"/>
    <w:rsid w:val="00F67E7E"/>
    <w:rsid w:val="00F83DEC"/>
    <w:rsid w:val="00F84F76"/>
    <w:rsid w:val="00F93524"/>
    <w:rsid w:val="00F946E3"/>
    <w:rsid w:val="00F95140"/>
    <w:rsid w:val="00FA0511"/>
    <w:rsid w:val="00FB0D85"/>
    <w:rsid w:val="00FB4682"/>
    <w:rsid w:val="00FB55F2"/>
    <w:rsid w:val="00FC301C"/>
    <w:rsid w:val="00FC66D8"/>
    <w:rsid w:val="00FD4F10"/>
    <w:rsid w:val="00FD6901"/>
    <w:rsid w:val="00FE334F"/>
    <w:rsid w:val="00FF4AFE"/>
    <w:rsid w:val="00FF7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C6BA"/>
  <w15:docId w15:val="{9D7E1D77-CF0F-4421-9EE7-BD82AAEE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000FF"/>
      <w:sz w:val="20"/>
      <w:szCs w:val="20"/>
      <w:u w:val="single" w:color="0000FF"/>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styleId="Testofumetto">
    <w:name w:val="Balloon Text"/>
    <w:basedOn w:val="Normale"/>
    <w:link w:val="TestofumettoCarattere"/>
    <w:uiPriority w:val="99"/>
    <w:semiHidden/>
    <w:unhideWhenUsed/>
    <w:rsid w:val="004F21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21EA"/>
    <w:rPr>
      <w:rFonts w:ascii="Segoe UI" w:hAnsi="Segoe UI" w:cs="Segoe UI"/>
      <w:color w:val="000000"/>
      <w:sz w:val="18"/>
      <w:szCs w:val="18"/>
      <w:u w:color="000000"/>
    </w:rPr>
  </w:style>
  <w:style w:type="paragraph" w:customStyle="1" w:styleId="Corpo">
    <w:name w:val="Corpo"/>
    <w:rsid w:val="00B95042"/>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B7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341">
      <w:bodyDiv w:val="1"/>
      <w:marLeft w:val="0"/>
      <w:marRight w:val="0"/>
      <w:marTop w:val="0"/>
      <w:marBottom w:val="0"/>
      <w:divBdr>
        <w:top w:val="none" w:sz="0" w:space="0" w:color="auto"/>
        <w:left w:val="none" w:sz="0" w:space="0" w:color="auto"/>
        <w:bottom w:val="none" w:sz="0" w:space="0" w:color="auto"/>
        <w:right w:val="none" w:sz="0" w:space="0" w:color="auto"/>
      </w:divBdr>
    </w:div>
    <w:div w:id="104812271">
      <w:bodyDiv w:val="1"/>
      <w:marLeft w:val="0"/>
      <w:marRight w:val="0"/>
      <w:marTop w:val="0"/>
      <w:marBottom w:val="0"/>
      <w:divBdr>
        <w:top w:val="none" w:sz="0" w:space="0" w:color="auto"/>
        <w:left w:val="none" w:sz="0" w:space="0" w:color="auto"/>
        <w:bottom w:val="none" w:sz="0" w:space="0" w:color="auto"/>
        <w:right w:val="none" w:sz="0" w:space="0" w:color="auto"/>
      </w:divBdr>
    </w:div>
    <w:div w:id="156578697">
      <w:bodyDiv w:val="1"/>
      <w:marLeft w:val="0"/>
      <w:marRight w:val="0"/>
      <w:marTop w:val="0"/>
      <w:marBottom w:val="0"/>
      <w:divBdr>
        <w:top w:val="none" w:sz="0" w:space="0" w:color="auto"/>
        <w:left w:val="none" w:sz="0" w:space="0" w:color="auto"/>
        <w:bottom w:val="none" w:sz="0" w:space="0" w:color="auto"/>
        <w:right w:val="none" w:sz="0" w:space="0" w:color="auto"/>
      </w:divBdr>
    </w:div>
    <w:div w:id="191116806">
      <w:bodyDiv w:val="1"/>
      <w:marLeft w:val="0"/>
      <w:marRight w:val="0"/>
      <w:marTop w:val="0"/>
      <w:marBottom w:val="0"/>
      <w:divBdr>
        <w:top w:val="none" w:sz="0" w:space="0" w:color="auto"/>
        <w:left w:val="none" w:sz="0" w:space="0" w:color="auto"/>
        <w:bottom w:val="none" w:sz="0" w:space="0" w:color="auto"/>
        <w:right w:val="none" w:sz="0" w:space="0" w:color="auto"/>
      </w:divBdr>
    </w:div>
    <w:div w:id="224874837">
      <w:bodyDiv w:val="1"/>
      <w:marLeft w:val="0"/>
      <w:marRight w:val="0"/>
      <w:marTop w:val="0"/>
      <w:marBottom w:val="0"/>
      <w:divBdr>
        <w:top w:val="none" w:sz="0" w:space="0" w:color="auto"/>
        <w:left w:val="none" w:sz="0" w:space="0" w:color="auto"/>
        <w:bottom w:val="none" w:sz="0" w:space="0" w:color="auto"/>
        <w:right w:val="none" w:sz="0" w:space="0" w:color="auto"/>
      </w:divBdr>
    </w:div>
    <w:div w:id="248731149">
      <w:bodyDiv w:val="1"/>
      <w:marLeft w:val="0"/>
      <w:marRight w:val="0"/>
      <w:marTop w:val="0"/>
      <w:marBottom w:val="0"/>
      <w:divBdr>
        <w:top w:val="none" w:sz="0" w:space="0" w:color="auto"/>
        <w:left w:val="none" w:sz="0" w:space="0" w:color="auto"/>
        <w:bottom w:val="none" w:sz="0" w:space="0" w:color="auto"/>
        <w:right w:val="none" w:sz="0" w:space="0" w:color="auto"/>
      </w:divBdr>
    </w:div>
    <w:div w:id="461583501">
      <w:bodyDiv w:val="1"/>
      <w:marLeft w:val="0"/>
      <w:marRight w:val="0"/>
      <w:marTop w:val="0"/>
      <w:marBottom w:val="0"/>
      <w:divBdr>
        <w:top w:val="none" w:sz="0" w:space="0" w:color="auto"/>
        <w:left w:val="none" w:sz="0" w:space="0" w:color="auto"/>
        <w:bottom w:val="none" w:sz="0" w:space="0" w:color="auto"/>
        <w:right w:val="none" w:sz="0" w:space="0" w:color="auto"/>
      </w:divBdr>
    </w:div>
    <w:div w:id="485632428">
      <w:bodyDiv w:val="1"/>
      <w:marLeft w:val="0"/>
      <w:marRight w:val="0"/>
      <w:marTop w:val="0"/>
      <w:marBottom w:val="0"/>
      <w:divBdr>
        <w:top w:val="none" w:sz="0" w:space="0" w:color="auto"/>
        <w:left w:val="none" w:sz="0" w:space="0" w:color="auto"/>
        <w:bottom w:val="none" w:sz="0" w:space="0" w:color="auto"/>
        <w:right w:val="none" w:sz="0" w:space="0" w:color="auto"/>
      </w:divBdr>
    </w:div>
    <w:div w:id="520290497">
      <w:bodyDiv w:val="1"/>
      <w:marLeft w:val="0"/>
      <w:marRight w:val="0"/>
      <w:marTop w:val="0"/>
      <w:marBottom w:val="0"/>
      <w:divBdr>
        <w:top w:val="none" w:sz="0" w:space="0" w:color="auto"/>
        <w:left w:val="none" w:sz="0" w:space="0" w:color="auto"/>
        <w:bottom w:val="none" w:sz="0" w:space="0" w:color="auto"/>
        <w:right w:val="none" w:sz="0" w:space="0" w:color="auto"/>
      </w:divBdr>
    </w:div>
    <w:div w:id="523057975">
      <w:bodyDiv w:val="1"/>
      <w:marLeft w:val="0"/>
      <w:marRight w:val="0"/>
      <w:marTop w:val="0"/>
      <w:marBottom w:val="0"/>
      <w:divBdr>
        <w:top w:val="none" w:sz="0" w:space="0" w:color="auto"/>
        <w:left w:val="none" w:sz="0" w:space="0" w:color="auto"/>
        <w:bottom w:val="none" w:sz="0" w:space="0" w:color="auto"/>
        <w:right w:val="none" w:sz="0" w:space="0" w:color="auto"/>
      </w:divBdr>
    </w:div>
    <w:div w:id="860507960">
      <w:bodyDiv w:val="1"/>
      <w:marLeft w:val="0"/>
      <w:marRight w:val="0"/>
      <w:marTop w:val="0"/>
      <w:marBottom w:val="0"/>
      <w:divBdr>
        <w:top w:val="none" w:sz="0" w:space="0" w:color="auto"/>
        <w:left w:val="none" w:sz="0" w:space="0" w:color="auto"/>
        <w:bottom w:val="none" w:sz="0" w:space="0" w:color="auto"/>
        <w:right w:val="none" w:sz="0" w:space="0" w:color="auto"/>
      </w:divBdr>
    </w:div>
    <w:div w:id="918295149">
      <w:bodyDiv w:val="1"/>
      <w:marLeft w:val="0"/>
      <w:marRight w:val="0"/>
      <w:marTop w:val="0"/>
      <w:marBottom w:val="0"/>
      <w:divBdr>
        <w:top w:val="none" w:sz="0" w:space="0" w:color="auto"/>
        <w:left w:val="none" w:sz="0" w:space="0" w:color="auto"/>
        <w:bottom w:val="none" w:sz="0" w:space="0" w:color="auto"/>
        <w:right w:val="none" w:sz="0" w:space="0" w:color="auto"/>
      </w:divBdr>
    </w:div>
    <w:div w:id="996541445">
      <w:bodyDiv w:val="1"/>
      <w:marLeft w:val="0"/>
      <w:marRight w:val="0"/>
      <w:marTop w:val="0"/>
      <w:marBottom w:val="0"/>
      <w:divBdr>
        <w:top w:val="none" w:sz="0" w:space="0" w:color="auto"/>
        <w:left w:val="none" w:sz="0" w:space="0" w:color="auto"/>
        <w:bottom w:val="none" w:sz="0" w:space="0" w:color="auto"/>
        <w:right w:val="none" w:sz="0" w:space="0" w:color="auto"/>
      </w:divBdr>
    </w:div>
    <w:div w:id="1060176761">
      <w:bodyDiv w:val="1"/>
      <w:marLeft w:val="0"/>
      <w:marRight w:val="0"/>
      <w:marTop w:val="0"/>
      <w:marBottom w:val="0"/>
      <w:divBdr>
        <w:top w:val="none" w:sz="0" w:space="0" w:color="auto"/>
        <w:left w:val="none" w:sz="0" w:space="0" w:color="auto"/>
        <w:bottom w:val="none" w:sz="0" w:space="0" w:color="auto"/>
        <w:right w:val="none" w:sz="0" w:space="0" w:color="auto"/>
      </w:divBdr>
    </w:div>
    <w:div w:id="1130123324">
      <w:bodyDiv w:val="1"/>
      <w:marLeft w:val="0"/>
      <w:marRight w:val="0"/>
      <w:marTop w:val="0"/>
      <w:marBottom w:val="0"/>
      <w:divBdr>
        <w:top w:val="none" w:sz="0" w:space="0" w:color="auto"/>
        <w:left w:val="none" w:sz="0" w:space="0" w:color="auto"/>
        <w:bottom w:val="none" w:sz="0" w:space="0" w:color="auto"/>
        <w:right w:val="none" w:sz="0" w:space="0" w:color="auto"/>
      </w:divBdr>
    </w:div>
    <w:div w:id="1151562199">
      <w:bodyDiv w:val="1"/>
      <w:marLeft w:val="0"/>
      <w:marRight w:val="0"/>
      <w:marTop w:val="0"/>
      <w:marBottom w:val="0"/>
      <w:divBdr>
        <w:top w:val="none" w:sz="0" w:space="0" w:color="auto"/>
        <w:left w:val="none" w:sz="0" w:space="0" w:color="auto"/>
        <w:bottom w:val="none" w:sz="0" w:space="0" w:color="auto"/>
        <w:right w:val="none" w:sz="0" w:space="0" w:color="auto"/>
      </w:divBdr>
    </w:div>
    <w:div w:id="1312757274">
      <w:bodyDiv w:val="1"/>
      <w:marLeft w:val="0"/>
      <w:marRight w:val="0"/>
      <w:marTop w:val="0"/>
      <w:marBottom w:val="0"/>
      <w:divBdr>
        <w:top w:val="none" w:sz="0" w:space="0" w:color="auto"/>
        <w:left w:val="none" w:sz="0" w:space="0" w:color="auto"/>
        <w:bottom w:val="none" w:sz="0" w:space="0" w:color="auto"/>
        <w:right w:val="none" w:sz="0" w:space="0" w:color="auto"/>
      </w:divBdr>
    </w:div>
    <w:div w:id="1339425625">
      <w:bodyDiv w:val="1"/>
      <w:marLeft w:val="0"/>
      <w:marRight w:val="0"/>
      <w:marTop w:val="0"/>
      <w:marBottom w:val="0"/>
      <w:divBdr>
        <w:top w:val="none" w:sz="0" w:space="0" w:color="auto"/>
        <w:left w:val="none" w:sz="0" w:space="0" w:color="auto"/>
        <w:bottom w:val="none" w:sz="0" w:space="0" w:color="auto"/>
        <w:right w:val="none" w:sz="0" w:space="0" w:color="auto"/>
      </w:divBdr>
    </w:div>
    <w:div w:id="1577200360">
      <w:bodyDiv w:val="1"/>
      <w:marLeft w:val="0"/>
      <w:marRight w:val="0"/>
      <w:marTop w:val="0"/>
      <w:marBottom w:val="0"/>
      <w:divBdr>
        <w:top w:val="none" w:sz="0" w:space="0" w:color="auto"/>
        <w:left w:val="none" w:sz="0" w:space="0" w:color="auto"/>
        <w:bottom w:val="none" w:sz="0" w:space="0" w:color="auto"/>
        <w:right w:val="none" w:sz="0" w:space="0" w:color="auto"/>
      </w:divBdr>
    </w:div>
    <w:div w:id="1579098301">
      <w:bodyDiv w:val="1"/>
      <w:marLeft w:val="0"/>
      <w:marRight w:val="0"/>
      <w:marTop w:val="0"/>
      <w:marBottom w:val="0"/>
      <w:divBdr>
        <w:top w:val="none" w:sz="0" w:space="0" w:color="auto"/>
        <w:left w:val="none" w:sz="0" w:space="0" w:color="auto"/>
        <w:bottom w:val="none" w:sz="0" w:space="0" w:color="auto"/>
        <w:right w:val="none" w:sz="0" w:space="0" w:color="auto"/>
      </w:divBdr>
    </w:div>
    <w:div w:id="1597326281">
      <w:bodyDiv w:val="1"/>
      <w:marLeft w:val="0"/>
      <w:marRight w:val="0"/>
      <w:marTop w:val="0"/>
      <w:marBottom w:val="0"/>
      <w:divBdr>
        <w:top w:val="none" w:sz="0" w:space="0" w:color="auto"/>
        <w:left w:val="none" w:sz="0" w:space="0" w:color="auto"/>
        <w:bottom w:val="none" w:sz="0" w:space="0" w:color="auto"/>
        <w:right w:val="none" w:sz="0" w:space="0" w:color="auto"/>
      </w:divBdr>
    </w:div>
    <w:div w:id="1823158108">
      <w:bodyDiv w:val="1"/>
      <w:marLeft w:val="0"/>
      <w:marRight w:val="0"/>
      <w:marTop w:val="0"/>
      <w:marBottom w:val="0"/>
      <w:divBdr>
        <w:top w:val="none" w:sz="0" w:space="0" w:color="auto"/>
        <w:left w:val="none" w:sz="0" w:space="0" w:color="auto"/>
        <w:bottom w:val="none" w:sz="0" w:space="0" w:color="auto"/>
        <w:right w:val="none" w:sz="0" w:space="0" w:color="auto"/>
      </w:divBdr>
    </w:div>
    <w:div w:id="1928028795">
      <w:bodyDiv w:val="1"/>
      <w:marLeft w:val="0"/>
      <w:marRight w:val="0"/>
      <w:marTop w:val="0"/>
      <w:marBottom w:val="0"/>
      <w:divBdr>
        <w:top w:val="none" w:sz="0" w:space="0" w:color="auto"/>
        <w:left w:val="none" w:sz="0" w:space="0" w:color="auto"/>
        <w:bottom w:val="none" w:sz="0" w:space="0" w:color="auto"/>
        <w:right w:val="none" w:sz="0" w:space="0" w:color="auto"/>
      </w:divBdr>
    </w:div>
    <w:div w:id="201191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piemonte@pec.coordifes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emonte@coordifesa.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8A82-4CD5-4131-B362-2F0EC125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7947</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Castelli</dc:creator>
  <cp:lastModifiedBy>CONSORZIO DIFESA ALESSANDRIA LAURA CORTI</cp:lastModifiedBy>
  <cp:revision>2</cp:revision>
  <cp:lastPrinted>2024-07-02T06:21:00Z</cp:lastPrinted>
  <dcterms:created xsi:type="dcterms:W3CDTF">2024-07-02T06:21:00Z</dcterms:created>
  <dcterms:modified xsi:type="dcterms:W3CDTF">2024-07-02T06:21:00Z</dcterms:modified>
</cp:coreProperties>
</file>